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36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МУНИЦИПАЛЬНОЕ АВТОНОМНОЕ УЧРЕЖДЕНИЕ</w:t>
      </w:r>
    </w:p>
    <w:p>
      <w:pPr>
        <w:spacing w:before="0" w:after="0" w:line="36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ДОПОЛНИТЕЛЬНОГО ОБРАЗОВАНИЯ</w:t>
      </w:r>
    </w:p>
    <w:p>
      <w:pPr>
        <w:spacing w:before="0" w:after="0" w:line="36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"ДЕТСКАЯ ШКОЛА ИСКУССТВ"</w:t>
      </w:r>
    </w:p>
    <w:p>
      <w:pPr>
        <w:spacing w:before="0" w:after="0" w:line="36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БАВЛИНСКОГО МУНИЦИПАЛЬНОГО РАЙОНА РТ</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ДОПОЛНИТЕЛЬНАЯ ПРЕДПРОФЕССИОНАЛЬНАЯ ПРОГРАММА </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ОБЛАСТИ МУЗЫКАЛЬНОГО ИСКУССТВА </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НАРОДНЫЕ ИНСТРУМЕНТЫ</w:t>
      </w:r>
      <w:r>
        <w:rPr>
          <w:rFonts w:ascii="Times New Roman" w:hAnsi="Times New Roman" w:cs="Times New Roman" w:eastAsia="Times New Roman"/>
          <w:b/>
          <w:color w:val="auto"/>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Предметная область </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ПО.01. МУЗЫКАЛЬНОЕ ИСПОЛНИТЕЛЬСТВО</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ПРИМЕРНАЯ ПРОГРАММА</w:t>
      </w:r>
    </w:p>
    <w:p>
      <w:pPr>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по учебному предмету </w:t>
      </w: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r>
        <w:rPr>
          <w:rFonts w:ascii="Times New Roman" w:hAnsi="Times New Roman" w:cs="Times New Roman" w:eastAsia="Times New Roman"/>
          <w:b/>
          <w:color w:val="auto"/>
          <w:spacing w:val="0"/>
          <w:position w:val="0"/>
          <w:sz w:val="42"/>
          <w:shd w:fill="auto" w:val="clear"/>
        </w:rPr>
        <w:t xml:space="preserve">ПО.01.УП.01. СПЕЦИАЛЬНОСТЬ </w:t>
      </w: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r>
        <w:rPr>
          <w:rFonts w:ascii="Times New Roman" w:hAnsi="Times New Roman" w:cs="Times New Roman" w:eastAsia="Times New Roman"/>
          <w:b/>
          <w:color w:val="auto"/>
          <w:spacing w:val="0"/>
          <w:position w:val="0"/>
          <w:sz w:val="42"/>
          <w:shd w:fill="auto" w:val="clear"/>
        </w:rPr>
        <w:t xml:space="preserve">(</w:t>
      </w:r>
      <w:r>
        <w:rPr>
          <w:rFonts w:ascii="Times New Roman" w:hAnsi="Times New Roman" w:cs="Times New Roman" w:eastAsia="Times New Roman"/>
          <w:b/>
          <w:color w:val="auto"/>
          <w:spacing w:val="0"/>
          <w:position w:val="0"/>
          <w:sz w:val="42"/>
          <w:shd w:fill="auto" w:val="clear"/>
        </w:rPr>
        <w:t xml:space="preserve">гитара)</w:t>
      </w: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p>
    <w:p>
      <w:pPr>
        <w:spacing w:before="0" w:after="0" w:line="240"/>
        <w:ind w:right="120" w:left="0" w:firstLine="0"/>
        <w:jc w:val="center"/>
        <w:rPr>
          <w:rFonts w:ascii="Times New Roman" w:hAnsi="Times New Roman" w:cs="Times New Roman" w:eastAsia="Times New Roman"/>
          <w:color w:val="auto"/>
          <w:spacing w:val="0"/>
          <w:position w:val="0"/>
          <w:sz w:val="28"/>
          <w:shd w:fill="FFFFFF" w:val="clear"/>
        </w:rPr>
      </w:pPr>
    </w:p>
    <w:p>
      <w:pPr>
        <w:spacing w:before="0" w:after="0" w:line="240"/>
        <w:ind w:right="0" w:left="5800" w:firstLine="0"/>
        <w:jc w:val="center"/>
        <w:rPr>
          <w:rFonts w:ascii="Times New Roman" w:hAnsi="Times New Roman" w:cs="Times New Roman" w:eastAsia="Times New Roman"/>
          <w:color w:val="auto"/>
          <w:spacing w:val="0"/>
          <w:position w:val="0"/>
          <w:sz w:val="28"/>
          <w:shd w:fill="FFFFFF"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562"/>
        <w:jc w:val="center"/>
        <w:rPr>
          <w:rFonts w:ascii="Times New Roman" w:hAnsi="Times New Roman" w:cs="Times New Roman" w:eastAsia="Times New Roman"/>
          <w:color w:val="auto"/>
          <w:spacing w:val="0"/>
          <w:position w:val="0"/>
          <w:sz w:val="24"/>
          <w:shd w:fill="auto" w:val="clear"/>
        </w:rPr>
      </w:pPr>
    </w:p>
    <w:p>
      <w:pPr>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pacing w:before="28"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Структура программы учебного предмета</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numPr>
          <w:ilvl w:val="0"/>
          <w:numId w:val="13"/>
        </w:numPr>
        <w:spacing w:before="0" w:after="0" w:line="240"/>
        <w:ind w:right="0" w:left="1080" w:hanging="72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Пояснительная записка</w:t>
        <w:tab/>
      </w:r>
    </w:p>
    <w:p>
      <w:pPr>
        <w:spacing w:before="0" w:after="0" w:line="240"/>
        <w:ind w:right="0" w:left="108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tab/>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8"/>
          <w:shd w:fill="auto" w:val="clear"/>
        </w:rPr>
        <w:tab/>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Характеристика учебного предмета, его место и роль в образовательном процессе;</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Срок реализации учебного предмета;</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Объем учебного времени, предусмотренный учебным планом образовательной</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tab/>
        <w:t xml:space="preserve">  </w:t>
      </w:r>
      <w:r>
        <w:rPr>
          <w:rFonts w:ascii="Times New Roman" w:hAnsi="Times New Roman" w:cs="Times New Roman" w:eastAsia="Times New Roman"/>
          <w:i/>
          <w:color w:val="auto"/>
          <w:spacing w:val="0"/>
          <w:position w:val="0"/>
          <w:sz w:val="24"/>
          <w:shd w:fill="auto" w:val="clear"/>
        </w:rPr>
        <w:t xml:space="preserve">организации на реализацию учебного предмета;</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Форма проведения учебных аудиторных занятий;</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Цели и задачи учебного предмета;</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Обоснование структуры программы учебного предмета;</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Методы обучения; </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Описание материально-технических условий реализации учебного предмета;</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numPr>
          <w:ilvl w:val="0"/>
          <w:numId w:val="17"/>
        </w:numPr>
        <w:spacing w:before="0" w:after="0" w:line="240"/>
        <w:ind w:right="0" w:left="1080" w:hanging="72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Содержание учебного предмета</w:t>
        <w:tab/>
      </w:r>
    </w:p>
    <w:p>
      <w:pPr>
        <w:spacing w:before="0" w:after="0" w:line="240"/>
        <w:ind w:right="0" w:left="108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Сведения о затратах учебного времени;</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Годовые требования по классам;</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numPr>
          <w:ilvl w:val="0"/>
          <w:numId w:val="20"/>
        </w:numPr>
        <w:spacing w:before="28" w:after="0" w:line="240"/>
        <w:ind w:right="0" w:left="1080" w:hanging="72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Требования к уровню подготовки учащихся</w:t>
      </w:r>
    </w:p>
    <w:p>
      <w:pPr>
        <w:spacing w:before="28" w:after="0" w:line="240"/>
        <w:ind w:right="0" w:left="0" w:firstLine="0"/>
        <w:jc w:val="left"/>
        <w:rPr>
          <w:rFonts w:ascii="Times New Roman" w:hAnsi="Times New Roman" w:cs="Times New Roman" w:eastAsia="Times New Roman"/>
          <w:b/>
          <w:color w:val="auto"/>
          <w:spacing w:val="0"/>
          <w:position w:val="0"/>
          <w:sz w:val="28"/>
          <w:shd w:fill="auto" w:val="clear"/>
        </w:rPr>
      </w:pPr>
    </w:p>
    <w:p>
      <w:pPr>
        <w:numPr>
          <w:ilvl w:val="0"/>
          <w:numId w:val="22"/>
        </w:numPr>
        <w:spacing w:before="0" w:after="0" w:line="240"/>
        <w:ind w:right="0" w:left="1080" w:hanging="72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Формы и методы контроля, система оценок </w:t>
        <w:tab/>
      </w:r>
    </w:p>
    <w:p>
      <w:pPr>
        <w:spacing w:before="0" w:after="0" w:line="240"/>
        <w:ind w:right="0" w:left="108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r>
    </w:p>
    <w:p>
      <w:pPr>
        <w:spacing w:before="0" w:after="0" w:line="240"/>
        <w:ind w:right="0" w:left="0" w:firstLine="708"/>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Аттестация: цели, виды, форма, содержание; </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Критерии оценки;</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Контрольные требования на разных этапах обучения;</w:t>
      </w:r>
    </w:p>
    <w:p>
      <w:pPr>
        <w:spacing w:before="0" w:after="0" w:line="240"/>
        <w:ind w:right="0" w:left="0" w:firstLine="0"/>
        <w:jc w:val="both"/>
        <w:rPr>
          <w:rFonts w:ascii="Times New Roman" w:hAnsi="Times New Roman" w:cs="Times New Roman" w:eastAsia="Times New Roman"/>
          <w:i/>
          <w:color w:val="auto"/>
          <w:spacing w:val="0"/>
          <w:position w:val="0"/>
          <w:sz w:val="28"/>
          <w:shd w:fill="auto" w:val="clear"/>
        </w:rPr>
      </w:pPr>
    </w:p>
    <w:p>
      <w:pPr>
        <w:numPr>
          <w:ilvl w:val="0"/>
          <w:numId w:val="27"/>
        </w:numPr>
        <w:spacing w:before="0" w:after="0" w:line="240"/>
        <w:ind w:right="0" w:left="1080" w:hanging="72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Методическое обеспечение учебного процесса</w:t>
        <w:tab/>
      </w:r>
    </w:p>
    <w:p>
      <w:pPr>
        <w:spacing w:before="0" w:after="0" w:line="240"/>
        <w:ind w:right="0" w:left="108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8"/>
          <w:shd w:fill="auto" w:val="clear"/>
        </w:rPr>
        <w:tab/>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Методические рекомендации педагогическим работникам;</w:t>
      </w:r>
    </w:p>
    <w:p>
      <w:pPr>
        <w:spacing w:before="0" w:after="0" w:line="240"/>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ab/>
      </w:r>
    </w:p>
    <w:p>
      <w:pPr>
        <w:numPr>
          <w:ilvl w:val="0"/>
          <w:numId w:val="30"/>
        </w:numPr>
        <w:spacing w:before="0" w:after="0" w:line="240"/>
        <w:ind w:right="0" w:left="1080" w:hanging="72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Списки рекомендуемой нотной и методической литературы</w:t>
        <w:tab/>
        <w:t xml:space="preserve"> </w:t>
      </w:r>
    </w:p>
    <w:p>
      <w:pPr>
        <w:spacing w:before="0" w:after="0" w:line="240"/>
        <w:ind w:right="0" w:left="1080"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ab/>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Учебная литература;</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Учебно-методическая литература;</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Методическая литература</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pacing w:before="120" w:after="12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120" w:after="12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120" w:after="12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120" w:after="12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120" w:after="12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120" w:after="120" w:line="360"/>
        <w:ind w:right="0" w:left="0" w:firstLine="0"/>
        <w:jc w:val="left"/>
        <w:rPr>
          <w:rFonts w:ascii="Times New Roman" w:hAnsi="Times New Roman" w:cs="Times New Roman" w:eastAsia="Times New Roman"/>
          <w:b/>
          <w:color w:val="auto"/>
          <w:spacing w:val="0"/>
          <w:position w:val="0"/>
          <w:sz w:val="28"/>
          <w:shd w:fill="auto" w:val="clear"/>
        </w:rPr>
      </w:pPr>
    </w:p>
    <w:p>
      <w:pPr>
        <w:spacing w:before="120" w:after="12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 </w:t>
      </w:r>
      <w:r>
        <w:rPr>
          <w:rFonts w:ascii="Times New Roman" w:hAnsi="Times New Roman" w:cs="Times New Roman" w:eastAsia="Times New Roman"/>
          <w:b/>
          <w:color w:val="auto"/>
          <w:spacing w:val="0"/>
          <w:position w:val="0"/>
          <w:sz w:val="28"/>
          <w:shd w:fill="auto" w:val="clear"/>
        </w:rPr>
        <w:t xml:space="preserve">ПОЯСНИТЕЛЬНАЯ ЗАПИСКА</w:t>
      </w:r>
    </w:p>
    <w:p>
      <w:pPr>
        <w:spacing w:before="0" w:after="0" w:line="36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1. </w:t>
      </w:r>
      <w:r>
        <w:rPr>
          <w:rFonts w:ascii="Times New Roman" w:hAnsi="Times New Roman" w:cs="Times New Roman" w:eastAsia="Times New Roman"/>
          <w:b/>
          <w:i/>
          <w:color w:val="auto"/>
          <w:spacing w:val="0"/>
          <w:position w:val="0"/>
          <w:sz w:val="28"/>
          <w:shd w:fill="auto" w:val="clear"/>
        </w:rPr>
        <w:t xml:space="preserve">Характеристика учебного предмета, его место и роль в образовательном процессе</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Программа учебного предмета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виду инструмента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гитара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далее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(гитара)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Народные инструменты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ФГТ).</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Учебный предмет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(гитара)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направлен на приобретение учащимися знаний, умений и навыков игры на гитаре, умений и навыков сольного исполнительства, а также на эстетическое воспитание и духовно-нравственное развитие ученика.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Обучение детей в области музыкального искусства ставит перед преподавателем ряд задач как учебных, так и воспитательных. Решение основных вопросов в данной сфере образования направлено на раскрытие и развитие индивидуальных способностей учащихся, а среди наиболее одаренных - на их дальнейшее профессиональное образование.</w:t>
      </w:r>
    </w:p>
    <w:p>
      <w:pPr>
        <w:spacing w:before="0" w:after="0" w:line="360"/>
        <w:ind w:right="0" w:left="0" w:firstLine="72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pPr>
        <w:spacing w:before="0" w:after="0" w:line="360"/>
        <w:ind w:right="0" w:left="0" w:firstLine="851"/>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Обучение игре на гитаре включает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2. </w:t>
      </w:r>
      <w:r>
        <w:rPr>
          <w:rFonts w:ascii="Times New Roman" w:hAnsi="Times New Roman" w:cs="Times New Roman" w:eastAsia="Times New Roman"/>
          <w:b/>
          <w:i/>
          <w:color w:val="auto"/>
          <w:spacing w:val="0"/>
          <w:position w:val="0"/>
          <w:sz w:val="28"/>
          <w:shd w:fill="auto" w:val="clear"/>
        </w:rPr>
        <w:t xml:space="preserve">Срок реализации</w:t>
      </w:r>
      <w:r>
        <w:rPr>
          <w:rFonts w:ascii="Times New Roman" w:hAnsi="Times New Roman" w:cs="Times New Roman" w:eastAsia="Times New Roman"/>
          <w:color w:val="auto"/>
          <w:spacing w:val="0"/>
          <w:position w:val="0"/>
          <w:sz w:val="28"/>
          <w:shd w:fill="auto" w:val="clear"/>
        </w:rPr>
        <w:t xml:space="preserve"> учебного предмета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(гитара)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детей, поступивших в образовательную организацию в первый класс в возрасте с шести лет шести месяцев до девяти лет, составляет 8 лет, с десяти до двенадцати лет - 5 лет.</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детей,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 реализующие основные образовательные программы среднего профессионального образования в области музыкального искусства, срок освоения может быть увеличен на один год.</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3. </w:t>
      </w:r>
      <w:r>
        <w:rPr>
          <w:rFonts w:ascii="Times New Roman" w:hAnsi="Times New Roman" w:cs="Times New Roman" w:eastAsia="Times New Roman"/>
          <w:b/>
          <w:i/>
          <w:color w:val="auto"/>
          <w:spacing w:val="0"/>
          <w:position w:val="0"/>
          <w:sz w:val="28"/>
          <w:shd w:fill="auto" w:val="clear"/>
        </w:rPr>
        <w:t xml:space="preserve">Объем учебного времени,</w:t>
      </w:r>
      <w:r>
        <w:rPr>
          <w:rFonts w:ascii="Times New Roman" w:hAnsi="Times New Roman" w:cs="Times New Roman" w:eastAsia="Times New Roman"/>
          <w:color w:val="auto"/>
          <w:spacing w:val="0"/>
          <w:position w:val="0"/>
          <w:sz w:val="28"/>
          <w:shd w:fill="auto" w:val="clear"/>
        </w:rPr>
        <w:t xml:space="preserve"> предусмотренный учебным планом образовательной организации на реализацию учебного предмета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(гитара)</w:t>
      </w:r>
      <w:r>
        <w:rPr>
          <w:rFonts w:ascii="Times New Roman" w:hAnsi="Times New Roman" w:cs="Times New Roman" w:eastAsia="Times New Roman"/>
          <w:color w:val="auto"/>
          <w:spacing w:val="0"/>
          <w:position w:val="0"/>
          <w:sz w:val="28"/>
          <w:shd w:fill="auto" w:val="clear"/>
        </w:rPr>
        <w:t xml:space="preserve">»:</w:t>
      </w:r>
    </w:p>
    <w:p>
      <w:pPr>
        <w:spacing w:before="120" w:after="120" w:line="240"/>
        <w:ind w:right="0" w:left="0" w:firstLine="0"/>
        <w:jc w:val="righ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Таблица 1</w:t>
      </w:r>
    </w:p>
    <w:tbl>
      <w:tblPr/>
      <w:tblGrid>
        <w:gridCol w:w="4219"/>
        <w:gridCol w:w="1276"/>
        <w:gridCol w:w="1417"/>
        <w:gridCol w:w="1134"/>
        <w:gridCol w:w="1474"/>
      </w:tblGrid>
      <w:tr>
        <w:trPr>
          <w:trHeight w:val="1" w:hRule="atLeast"/>
          <w:jc w:val="left"/>
        </w:trPr>
        <w:tc>
          <w:tcPr>
            <w:tcW w:w="42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8"/>
                <w:shd w:fill="auto" w:val="clear"/>
              </w:rPr>
              <w:t xml:space="preserve">Срок обучения</w:t>
            </w:r>
          </w:p>
        </w:tc>
        <w:tc>
          <w:tcPr>
            <w:tcW w:w="12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лет</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9-</w:t>
            </w:r>
            <w:r>
              <w:rPr>
                <w:rFonts w:ascii="Times New Roman" w:hAnsi="Times New Roman" w:cs="Times New Roman" w:eastAsia="Times New Roman"/>
                <w:color w:val="auto"/>
                <w:spacing w:val="0"/>
                <w:position w:val="0"/>
                <w:sz w:val="28"/>
                <w:shd w:fill="auto" w:val="clear"/>
              </w:rPr>
              <w:t xml:space="preserve">й год обучения</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лет</w:t>
            </w:r>
          </w:p>
        </w:tc>
        <w:tc>
          <w:tcPr>
            <w:tcW w:w="14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6-</w:t>
            </w:r>
            <w:r>
              <w:rPr>
                <w:rFonts w:ascii="Times New Roman" w:hAnsi="Times New Roman" w:cs="Times New Roman" w:eastAsia="Times New Roman"/>
                <w:color w:val="auto"/>
                <w:spacing w:val="0"/>
                <w:position w:val="0"/>
                <w:sz w:val="28"/>
                <w:shd w:fill="auto" w:val="clear"/>
              </w:rPr>
              <w:t xml:space="preserve">й год обучения</w:t>
            </w:r>
          </w:p>
        </w:tc>
      </w:tr>
      <w:tr>
        <w:trPr>
          <w:trHeight w:val="1" w:hRule="atLeast"/>
          <w:jc w:val="left"/>
        </w:trPr>
        <w:tc>
          <w:tcPr>
            <w:tcW w:w="42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Максимальная учебная нагрузка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 часах)</w:t>
            </w:r>
          </w:p>
        </w:tc>
        <w:tc>
          <w:tcPr>
            <w:tcW w:w="12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1316</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214,5</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924</w:t>
            </w:r>
          </w:p>
        </w:tc>
        <w:tc>
          <w:tcPr>
            <w:tcW w:w="14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214,5</w:t>
            </w:r>
          </w:p>
        </w:tc>
      </w:tr>
      <w:tr>
        <w:trPr>
          <w:trHeight w:val="1" w:hRule="atLeast"/>
          <w:jc w:val="left"/>
        </w:trPr>
        <w:tc>
          <w:tcPr>
            <w:tcW w:w="42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Количество</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8"/>
                <w:shd w:fill="auto" w:val="clear"/>
              </w:rPr>
              <w:t xml:space="preserve">часов на аудиторные занятия</w:t>
            </w:r>
          </w:p>
        </w:tc>
        <w:tc>
          <w:tcPr>
            <w:tcW w:w="12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559</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82,5</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363</w:t>
            </w:r>
          </w:p>
        </w:tc>
        <w:tc>
          <w:tcPr>
            <w:tcW w:w="14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82,5</w:t>
            </w:r>
          </w:p>
        </w:tc>
      </w:tr>
      <w:tr>
        <w:trPr>
          <w:trHeight w:val="1" w:hRule="atLeast"/>
          <w:jc w:val="left"/>
        </w:trPr>
        <w:tc>
          <w:tcPr>
            <w:tcW w:w="42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8"/>
                <w:shd w:fill="auto" w:val="clear"/>
              </w:rPr>
              <w:t xml:space="preserve">Количество часов на внеаудиторную (самостоятельную) работу</w:t>
            </w:r>
          </w:p>
        </w:tc>
        <w:tc>
          <w:tcPr>
            <w:tcW w:w="12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757</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132</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561</w:t>
            </w:r>
          </w:p>
        </w:tc>
        <w:tc>
          <w:tcPr>
            <w:tcW w:w="14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8"/>
                <w:shd w:fill="auto" w:val="clear"/>
              </w:rPr>
              <w:t xml:space="preserve">132</w:t>
            </w:r>
          </w:p>
        </w:tc>
      </w:tr>
    </w:tbl>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4. </w:t>
      </w:r>
      <w:r>
        <w:rPr>
          <w:rFonts w:ascii="Times New Roman" w:hAnsi="Times New Roman" w:cs="Times New Roman" w:eastAsia="Times New Roman"/>
          <w:b/>
          <w:i/>
          <w:color w:val="auto"/>
          <w:spacing w:val="0"/>
          <w:position w:val="0"/>
          <w:sz w:val="28"/>
          <w:shd w:fill="auto" w:val="clear"/>
        </w:rPr>
        <w:t xml:space="preserve">Форма проведения учебных аудиторных занятий</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индивидуальная, рекомендуемая продолжительность урока - 45 минут.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pPr>
        <w:spacing w:before="120" w:after="240" w:line="24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5. </w:t>
      </w:r>
      <w:r>
        <w:rPr>
          <w:rFonts w:ascii="Times New Roman" w:hAnsi="Times New Roman" w:cs="Times New Roman" w:eastAsia="Times New Roman"/>
          <w:b/>
          <w:i/>
          <w:color w:val="auto"/>
          <w:spacing w:val="0"/>
          <w:position w:val="0"/>
          <w:sz w:val="28"/>
          <w:shd w:fill="auto" w:val="clear"/>
        </w:rPr>
        <w:t xml:space="preserve">Цели и задачи учебного предмета </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Специальность (гитара)</w:t>
      </w:r>
      <w:r>
        <w:rPr>
          <w:rFonts w:ascii="Times New Roman" w:hAnsi="Times New Roman" w:cs="Times New Roman" w:eastAsia="Times New Roman"/>
          <w:b/>
          <w:i/>
          <w:color w:val="auto"/>
          <w:spacing w:val="0"/>
          <w:position w:val="0"/>
          <w:sz w:val="28"/>
          <w:shd w:fill="auto" w:val="clear"/>
        </w:rPr>
        <w:t xml:space="preserve">» </w:t>
      </w:r>
    </w:p>
    <w:p>
      <w:pPr>
        <w:spacing w:before="120" w:after="240" w:line="24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Цели: </w:t>
      </w:r>
    </w:p>
    <w:p>
      <w:pPr>
        <w:numPr>
          <w:ilvl w:val="0"/>
          <w:numId w:val="56"/>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музыкально-творческих способностей учащегося на основе приобретенных им знаний, умений и навыков;</w:t>
      </w:r>
    </w:p>
    <w:p>
      <w:pPr>
        <w:numPr>
          <w:ilvl w:val="0"/>
          <w:numId w:val="56"/>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выявление творческих способностей учащихся и их развитие в области исполнительства на гитаре до уровня подготовки, достаточного для творческого самовыражения и самореализации;</w:t>
      </w:r>
    </w:p>
    <w:p>
      <w:pPr>
        <w:numPr>
          <w:ilvl w:val="0"/>
          <w:numId w:val="56"/>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выявление наиболее одаренных детей и их дальнейшая подготовка к продолжению обучения в профессиональных образовательных организациях.</w:t>
      </w:r>
    </w:p>
    <w:p>
      <w:pPr>
        <w:spacing w:before="0" w:after="0" w:line="36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Задачи:</w:t>
      </w:r>
    </w:p>
    <w:p>
      <w:pPr>
        <w:numPr>
          <w:ilvl w:val="0"/>
          <w:numId w:val="5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интереса к классической музыке и музыкальному творчеству;</w:t>
      </w:r>
    </w:p>
    <w:p>
      <w:pPr>
        <w:numPr>
          <w:ilvl w:val="0"/>
          <w:numId w:val="5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музыкальных способностей: слуха, ритма, памяти, музыкальности и артистизма;</w:t>
      </w:r>
    </w:p>
    <w:p>
      <w:pPr>
        <w:numPr>
          <w:ilvl w:val="0"/>
          <w:numId w:val="5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формирование у учащихся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pPr>
        <w:numPr>
          <w:ilvl w:val="0"/>
          <w:numId w:val="5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овладение </w:t>
      </w:r>
      <w:r>
        <w:rPr>
          <w:rFonts w:ascii="Times New Roman" w:hAnsi="Times New Roman" w:cs="Times New Roman" w:eastAsia="Times New Roman"/>
          <w:color w:val="000000"/>
          <w:spacing w:val="0"/>
          <w:position w:val="0"/>
          <w:sz w:val="28"/>
          <w:shd w:fill="auto" w:val="clear"/>
        </w:rPr>
        <w:t xml:space="preserve">учащимися основными исполнительскими навыками игры на гитаре, позволяющими грамотно исполнять музыкальное произведение как соло, так и в ансамбле, а также исполнять нетрудный аккомпанемент;</w:t>
      </w:r>
    </w:p>
    <w:p>
      <w:pPr>
        <w:numPr>
          <w:ilvl w:val="0"/>
          <w:numId w:val="5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овладение знаниями, умениями и навыками игры на гитаре, позволяющими выпускнику приобретать собственный опыт музицирования, </w:t>
      </w:r>
      <w:r>
        <w:rPr>
          <w:rFonts w:ascii="Times New Roman" w:hAnsi="Times New Roman" w:cs="Times New Roman" w:eastAsia="Times New Roman"/>
          <w:color w:val="000000"/>
          <w:spacing w:val="0"/>
          <w:position w:val="0"/>
          <w:sz w:val="28"/>
          <w:shd w:fill="auto" w:val="clear"/>
        </w:rPr>
        <w:t xml:space="preserve">обучение навыкам самостоятельной работы с музыкальным материалом и чтения нот с листа</w:t>
      </w:r>
      <w:r>
        <w:rPr>
          <w:rFonts w:ascii="Times New Roman" w:hAnsi="Times New Roman" w:cs="Times New Roman" w:eastAsia="Times New Roman"/>
          <w:color w:val="auto"/>
          <w:spacing w:val="0"/>
          <w:position w:val="0"/>
          <w:sz w:val="28"/>
          <w:shd w:fill="auto" w:val="clear"/>
        </w:rPr>
        <w:t xml:space="preserve">;</w:t>
      </w:r>
    </w:p>
    <w:p>
      <w:pPr>
        <w:numPr>
          <w:ilvl w:val="0"/>
          <w:numId w:val="5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приобретение учащимися опыта творческой деятельности и публичных выступлений;</w:t>
      </w:r>
    </w:p>
    <w:p>
      <w:pPr>
        <w:numPr>
          <w:ilvl w:val="0"/>
          <w:numId w:val="5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достижение уровня образованности, позволяющего выпускнику самостоятельно ориентироваться в мировой музыкальной культуре;</w:t>
      </w:r>
    </w:p>
    <w:p>
      <w:pPr>
        <w:numPr>
          <w:ilvl w:val="0"/>
          <w:numId w:val="5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6. </w:t>
      </w:r>
      <w:r>
        <w:rPr>
          <w:rFonts w:ascii="Times New Roman" w:hAnsi="Times New Roman" w:cs="Times New Roman" w:eastAsia="Times New Roman"/>
          <w:b/>
          <w:i/>
          <w:color w:val="auto"/>
          <w:spacing w:val="0"/>
          <w:position w:val="0"/>
          <w:sz w:val="28"/>
          <w:shd w:fill="auto" w:val="clear"/>
        </w:rPr>
        <w:t xml:space="preserve">Обоснование структуры программы</w:t>
      </w:r>
      <w:r>
        <w:rPr>
          <w:rFonts w:ascii="Times New Roman" w:hAnsi="Times New Roman" w:cs="Times New Roman" w:eastAsia="Times New Roman"/>
          <w:color w:val="auto"/>
          <w:spacing w:val="0"/>
          <w:position w:val="0"/>
          <w:sz w:val="28"/>
          <w:shd w:fill="auto" w:val="clear"/>
        </w:rPr>
        <w:t xml:space="preserve"> учебного предмета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(гитара)</w:t>
      </w:r>
      <w:r>
        <w:rPr>
          <w:rFonts w:ascii="Times New Roman" w:hAnsi="Times New Roman" w:cs="Times New Roman" w:eastAsia="Times New Roman"/>
          <w:color w:val="auto"/>
          <w:spacing w:val="0"/>
          <w:position w:val="0"/>
          <w:sz w:val="28"/>
          <w:shd w:fill="auto" w:val="clear"/>
        </w:rPr>
        <w:t xml:space="preserve">». </w:t>
      </w:r>
    </w:p>
    <w:p>
      <w:pPr>
        <w:spacing w:before="0" w:after="0" w:line="36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Обоснованием структуры программы являются  ФГТ, отражающие все аспекты работы преподавателя с учеником.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Программа содержит следующие разделы:</w:t>
      </w:r>
    </w:p>
    <w:p>
      <w:pPr>
        <w:numPr>
          <w:ilvl w:val="0"/>
          <w:numId w:val="6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сведения о затратах учебного времени, предусмотренного на освоение учебного предмета; </w:t>
      </w:r>
    </w:p>
    <w:p>
      <w:pPr>
        <w:numPr>
          <w:ilvl w:val="0"/>
          <w:numId w:val="6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распределение учебного материала по</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годам обучения;</w:t>
      </w:r>
    </w:p>
    <w:p>
      <w:pPr>
        <w:numPr>
          <w:ilvl w:val="0"/>
          <w:numId w:val="6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описание дидактических единиц учебного предмета;</w:t>
      </w:r>
    </w:p>
    <w:p>
      <w:pPr>
        <w:numPr>
          <w:ilvl w:val="0"/>
          <w:numId w:val="6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требования к уровню подготовки учащихся; </w:t>
      </w:r>
    </w:p>
    <w:p>
      <w:pPr>
        <w:numPr>
          <w:ilvl w:val="0"/>
          <w:numId w:val="6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формы и методы контроля, система оценок; </w:t>
      </w:r>
    </w:p>
    <w:p>
      <w:pPr>
        <w:numPr>
          <w:ilvl w:val="0"/>
          <w:numId w:val="6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методическое обеспечение учебного процесса.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соответствии с данными направлениями строится основной раздел программы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Содержание учебного предмета</w:t>
      </w:r>
      <w:r>
        <w:rPr>
          <w:rFonts w:ascii="Times New Roman" w:hAnsi="Times New Roman" w:cs="Times New Roman" w:eastAsia="Times New Roman"/>
          <w:color w:val="auto"/>
          <w:spacing w:val="0"/>
          <w:position w:val="0"/>
          <w:sz w:val="28"/>
          <w:shd w:fill="auto" w:val="clear"/>
        </w:rPr>
        <w:t xml:space="preserve">».</w:t>
      </w:r>
    </w:p>
    <w:p>
      <w:pPr>
        <w:spacing w:before="120" w:after="240" w:line="24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7. </w:t>
      </w:r>
      <w:r>
        <w:rPr>
          <w:rFonts w:ascii="Times New Roman" w:hAnsi="Times New Roman" w:cs="Times New Roman" w:eastAsia="Times New Roman"/>
          <w:b/>
          <w:i/>
          <w:color w:val="auto"/>
          <w:spacing w:val="0"/>
          <w:position w:val="0"/>
          <w:sz w:val="28"/>
          <w:shd w:fill="auto" w:val="clear"/>
        </w:rPr>
        <w:t xml:space="preserve">Методы обучения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 </w:t>
      </w:r>
    </w:p>
    <w:p>
      <w:pPr>
        <w:numPr>
          <w:ilvl w:val="0"/>
          <w:numId w:val="66"/>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словесный (рассказ, беседа, объяснение);</w:t>
      </w:r>
    </w:p>
    <w:p>
      <w:pPr>
        <w:numPr>
          <w:ilvl w:val="0"/>
          <w:numId w:val="66"/>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практический (выработка игровых навыков, работа на инструменте, упражнения); </w:t>
      </w:r>
    </w:p>
    <w:p>
      <w:pPr>
        <w:numPr>
          <w:ilvl w:val="0"/>
          <w:numId w:val="66"/>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наглядно-слуховой </w:t>
      </w:r>
      <w:r>
        <w:rPr>
          <w:rFonts w:ascii="Times New Roman" w:hAnsi="Times New Roman" w:cs="Times New Roman" w:eastAsia="Times New Roman"/>
          <w:color w:val="auto"/>
          <w:spacing w:val="0"/>
          <w:position w:val="0"/>
          <w:sz w:val="28"/>
          <w:shd w:fill="auto" w:val="clear"/>
        </w:rPr>
        <w:t xml:space="preserve">(показ, </w:t>
      </w:r>
      <w:r>
        <w:rPr>
          <w:rFonts w:ascii="Times New Roman" w:hAnsi="Times New Roman" w:cs="Times New Roman" w:eastAsia="Times New Roman"/>
          <w:color w:val="000000"/>
          <w:spacing w:val="0"/>
          <w:position w:val="0"/>
          <w:sz w:val="28"/>
          <w:shd w:fill="auto" w:val="clear"/>
        </w:rPr>
        <w:t xml:space="preserve">наблюдение, демонстрация преподавателем игровых движений и приемов игры на гитаре</w:t>
      </w:r>
      <w:r>
        <w:rPr>
          <w:rFonts w:ascii="Times New Roman" w:hAnsi="Times New Roman" w:cs="Times New Roman" w:eastAsia="Times New Roman"/>
          <w:color w:val="auto"/>
          <w:spacing w:val="0"/>
          <w:position w:val="0"/>
          <w:sz w:val="28"/>
          <w:shd w:fill="auto" w:val="clear"/>
        </w:rPr>
        <w:t xml:space="preserve">);</w:t>
      </w:r>
    </w:p>
    <w:p>
      <w:pPr>
        <w:numPr>
          <w:ilvl w:val="0"/>
          <w:numId w:val="66"/>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объяснительно-иллюстративный (игра педагогом произведения ученика с комментариями);</w:t>
      </w:r>
    </w:p>
    <w:p>
      <w:pPr>
        <w:numPr>
          <w:ilvl w:val="0"/>
          <w:numId w:val="66"/>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репродуктивный (повторение учеником игровых приемов по образцу преподавателя);</w:t>
      </w:r>
    </w:p>
    <w:p>
      <w:pPr>
        <w:numPr>
          <w:ilvl w:val="0"/>
          <w:numId w:val="66"/>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аналитический (сравнения и обобщения, развитие логического мышления);</w:t>
      </w:r>
    </w:p>
    <w:p>
      <w:pPr>
        <w:numPr>
          <w:ilvl w:val="0"/>
          <w:numId w:val="66"/>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эмоциональный (подбор ассоциаций, образов; художественные впечатления).</w:t>
      </w:r>
    </w:p>
    <w:p>
      <w:pPr>
        <w:spacing w:before="0" w:after="0" w:line="360"/>
        <w:ind w:right="0" w:left="0" w:firstLine="720"/>
        <w:jc w:val="both"/>
        <w:rPr>
          <w:rFonts w:ascii="Times New Roman" w:hAnsi="Times New Roman" w:cs="Times New Roman" w:eastAsia="Times New Roman"/>
          <w:color w:val="00000A"/>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Выбор методов зависит от возраста и индивидуальных особенностей учащегося. </w:t>
      </w:r>
      <w:r>
        <w:rPr>
          <w:rFonts w:ascii="Times New Roman" w:hAnsi="Times New Roman" w:cs="Times New Roman" w:eastAsia="Times New Roman"/>
          <w:color w:val="00000A"/>
          <w:spacing w:val="0"/>
          <w:position w:val="0"/>
          <w:sz w:val="28"/>
          <w:shd w:fill="auto" w:val="clear"/>
        </w:rPr>
        <w:t xml:space="preserve">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гитаре. </w:t>
      </w:r>
    </w:p>
    <w:p>
      <w:pPr>
        <w:spacing w:before="0" w:after="0" w:line="36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8. </w:t>
      </w:r>
      <w:r>
        <w:rPr>
          <w:rFonts w:ascii="Times New Roman" w:hAnsi="Times New Roman" w:cs="Times New Roman" w:eastAsia="Times New Roman"/>
          <w:b/>
          <w:i/>
          <w:color w:val="auto"/>
          <w:spacing w:val="0"/>
          <w:position w:val="0"/>
          <w:sz w:val="28"/>
          <w:shd w:fill="auto" w:val="clear"/>
        </w:rPr>
        <w:t xml:space="preserve">Описание материально-технических условий реализации учебного предмета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Материально-техническая база образовательной организации должна соответствовать санитарным и противопожарным нормам, нормам охраны труда.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Учебные аудитории для занятий по учебному предмету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(гитара)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должны иметь площадь не менее 9 кв.м, наличие фортепиано, пюпитра. В образовательной организации должны быть созданы условия для содержания, своевременного обслуживания и ремонта музыкальных инструментов. Образовательная организация должна обеспечить наличие инструментов различного размера,</w:t>
      </w:r>
      <w:r>
        <w:rPr>
          <w:rFonts w:ascii="Times New Roman" w:hAnsi="Times New Roman" w:cs="Times New Roman" w:eastAsia="Times New Roman"/>
          <w:color w:val="00B050"/>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необходимых для обучения детей разного возраста.</w:t>
      </w:r>
    </w:p>
    <w:p>
      <w:pPr>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  </w:t>
      </w:r>
      <w:r>
        <w:rPr>
          <w:rFonts w:ascii="Times New Roman" w:hAnsi="Times New Roman" w:cs="Times New Roman" w:eastAsia="Times New Roman"/>
          <w:b/>
          <w:color w:val="auto"/>
          <w:spacing w:val="0"/>
          <w:position w:val="0"/>
          <w:sz w:val="28"/>
          <w:shd w:fill="auto" w:val="clear"/>
        </w:rPr>
        <w:t xml:space="preserve">СОДЕРЖАНИЕ УЧЕБНОГО ПРЕДМЕТА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1. </w:t>
      </w:r>
      <w:r>
        <w:rPr>
          <w:rFonts w:ascii="Times New Roman" w:hAnsi="Times New Roman" w:cs="Times New Roman" w:eastAsia="Times New Roman"/>
          <w:b/>
          <w:i/>
          <w:color w:val="auto"/>
          <w:spacing w:val="0"/>
          <w:position w:val="0"/>
          <w:sz w:val="28"/>
          <w:shd w:fill="auto" w:val="clear"/>
        </w:rPr>
        <w:t xml:space="preserve">Сведения о затратах учебного времени</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предусмотренного на освоение учебного предмета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(гитара)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максимальную, самостоятельную нагрузку учащихся и аудиторные занятия:</w:t>
      </w:r>
    </w:p>
    <w:p>
      <w:pPr>
        <w:spacing w:before="120" w:after="120" w:line="240"/>
        <w:ind w:right="0" w:left="0" w:firstLine="0"/>
        <w:jc w:val="right"/>
        <w:rPr>
          <w:rFonts w:ascii="Times New Roman" w:hAnsi="Times New Roman" w:cs="Times New Roman" w:eastAsia="Times New Roman"/>
          <w:b/>
          <w:i/>
          <w:color w:val="auto"/>
          <w:spacing w:val="0"/>
          <w:position w:val="0"/>
          <w:sz w:val="28"/>
          <w:shd w:fill="auto" w:val="clear"/>
        </w:rPr>
      </w:pPr>
    </w:p>
    <w:p>
      <w:pPr>
        <w:spacing w:before="120" w:after="120" w:line="240"/>
        <w:ind w:right="0" w:left="0" w:firstLine="0"/>
        <w:jc w:val="righ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Таблица 2</w:t>
      </w:r>
    </w:p>
    <w:p>
      <w:pPr>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Срок обучения 8 (9) лет</w:t>
      </w:r>
    </w:p>
    <w:p>
      <w:pPr>
        <w:tabs>
          <w:tab w:val="left" w:pos="6521" w:leader="none"/>
        </w:tabs>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tbl>
      <w:tblPr/>
      <w:tblGrid>
        <w:gridCol w:w="3369"/>
        <w:gridCol w:w="747"/>
        <w:gridCol w:w="708"/>
        <w:gridCol w:w="709"/>
        <w:gridCol w:w="709"/>
        <w:gridCol w:w="709"/>
        <w:gridCol w:w="708"/>
        <w:gridCol w:w="709"/>
        <w:gridCol w:w="709"/>
        <w:gridCol w:w="709"/>
      </w:tblGrid>
      <w:tr>
        <w:trPr>
          <w:trHeight w:val="389" w:hRule="auto"/>
          <w:jc w:val="left"/>
        </w:trPr>
        <w:tc>
          <w:tcPr>
            <w:tcW w:w="33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417" w:type="dxa"/>
            <w:gridSpan w:val="9"/>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Распределение по годам обучения</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Класс</w:t>
            </w:r>
          </w:p>
        </w:tc>
        <w:tc>
          <w:tcPr>
            <w:tcW w:w="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4</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5</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6</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7</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8</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9</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position w:val="0"/>
                <w:sz w:val="22"/>
              </w:rPr>
            </w:pPr>
            <w:r>
              <w:rPr>
                <w:rFonts w:ascii="Times New Roman" w:hAnsi="Times New Roman" w:cs="Times New Roman" w:eastAsia="Times New Roman"/>
                <w:color w:val="auto"/>
                <w:spacing w:val="-2"/>
                <w:position w:val="0"/>
                <w:sz w:val="22"/>
                <w:shd w:fill="auto" w:val="clear"/>
              </w:rPr>
              <w:t xml:space="preserve">Продолжительность учебных недель в году</w:t>
            </w:r>
          </w:p>
        </w:tc>
        <w:tc>
          <w:tcPr>
            <w:tcW w:w="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32</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33</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33</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33</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33</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33</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33</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33</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33</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Количество часов на </w:t>
            </w:r>
            <w:r>
              <w:rPr>
                <w:rFonts w:ascii="Times New Roman" w:hAnsi="Times New Roman" w:cs="Times New Roman" w:eastAsia="Times New Roman"/>
                <w:b/>
                <w:color w:val="auto"/>
                <w:spacing w:val="0"/>
                <w:position w:val="0"/>
                <w:sz w:val="22"/>
                <w:shd w:fill="auto" w:val="clear"/>
              </w:rPr>
              <w:t xml:space="preserve">аудиторные</w:t>
            </w:r>
            <w:r>
              <w:rPr>
                <w:rFonts w:ascii="Times New Roman" w:hAnsi="Times New Roman" w:cs="Times New Roman" w:eastAsia="Times New Roman"/>
                <w:color w:val="auto"/>
                <w:spacing w:val="0"/>
                <w:position w:val="0"/>
                <w:sz w:val="22"/>
                <w:shd w:fill="auto" w:val="clear"/>
              </w:rPr>
              <w:t xml:space="preserve"> занятия в неделю</w:t>
            </w:r>
          </w:p>
        </w:tc>
        <w:tc>
          <w:tcPr>
            <w:tcW w:w="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2,5</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2,5</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2,5</w:t>
            </w:r>
          </w:p>
        </w:tc>
      </w:tr>
      <w:tr>
        <w:trPr>
          <w:trHeight w:val="389" w:hRule="auto"/>
          <w:jc w:val="left"/>
        </w:trPr>
        <w:tc>
          <w:tcPr>
            <w:tcW w:w="3369" w:type="dxa"/>
            <w:vMerge w:val="restart"/>
            <w:tcBorders>
              <w:top w:val="single" w:color="000000" w:sz="4"/>
              <w:left w:val="single" w:color="000000" w:sz="4"/>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Общее количество</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2"/>
                <w:shd w:fill="auto" w:val="clear"/>
              </w:rPr>
              <w:t xml:space="preserve">часов на аудиторные занятия</w:t>
            </w:r>
          </w:p>
        </w:tc>
        <w:tc>
          <w:tcPr>
            <w:tcW w:w="5708" w:type="dxa"/>
            <w:gridSpan w:val="8"/>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559</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82,5</w:t>
            </w:r>
          </w:p>
        </w:tc>
      </w:tr>
      <w:tr>
        <w:trPr>
          <w:trHeight w:val="389" w:hRule="auto"/>
          <w:jc w:val="left"/>
        </w:trPr>
        <w:tc>
          <w:tcPr>
            <w:tcW w:w="3369" w:type="dxa"/>
            <w:vMerge/>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17" w:type="dxa"/>
            <w:gridSpan w:val="9"/>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641,5</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Количество часов на </w:t>
            </w:r>
            <w:r>
              <w:rPr>
                <w:rFonts w:ascii="Times New Roman" w:hAnsi="Times New Roman" w:cs="Times New Roman" w:eastAsia="Times New Roman"/>
                <w:b/>
                <w:color w:val="auto"/>
                <w:spacing w:val="0"/>
                <w:position w:val="0"/>
                <w:sz w:val="22"/>
                <w:shd w:fill="auto" w:val="clear"/>
              </w:rPr>
              <w:t xml:space="preserve">внеаудиторные </w:t>
            </w:r>
            <w:r>
              <w:rPr>
                <w:rFonts w:ascii="Times New Roman" w:hAnsi="Times New Roman" w:cs="Times New Roman" w:eastAsia="Times New Roman"/>
                <w:color w:val="auto"/>
                <w:spacing w:val="0"/>
                <w:position w:val="0"/>
                <w:sz w:val="22"/>
                <w:shd w:fill="auto" w:val="clear"/>
              </w:rPr>
              <w:t xml:space="preserve">занятия в неделю</w:t>
            </w:r>
          </w:p>
        </w:tc>
        <w:tc>
          <w:tcPr>
            <w:tcW w:w="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2</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4</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4</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4</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Общее количество</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2"/>
                <w:shd w:fill="auto" w:val="clear"/>
              </w:rPr>
              <w:t xml:space="preserve">часов на </w:t>
            </w:r>
            <w:r>
              <w:rPr>
                <w:rFonts w:ascii="Times New Roman" w:hAnsi="Times New Roman" w:cs="Times New Roman" w:eastAsia="Times New Roman"/>
                <w:b/>
                <w:color w:val="auto"/>
                <w:spacing w:val="0"/>
                <w:position w:val="0"/>
                <w:sz w:val="22"/>
                <w:shd w:fill="auto" w:val="clear"/>
              </w:rPr>
              <w:t xml:space="preserve">внеаудиторные </w:t>
            </w:r>
            <w:r>
              <w:rPr>
                <w:rFonts w:ascii="Times New Roman" w:hAnsi="Times New Roman" w:cs="Times New Roman" w:eastAsia="Times New Roman"/>
                <w:color w:val="auto"/>
                <w:spacing w:val="0"/>
                <w:position w:val="0"/>
                <w:sz w:val="22"/>
                <w:shd w:fill="auto" w:val="clear"/>
              </w:rPr>
              <w:t xml:space="preserve">(самостоятельные) занятия по годам</w:t>
            </w:r>
          </w:p>
        </w:tc>
        <w:tc>
          <w:tcPr>
            <w:tcW w:w="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64</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66</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66</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99</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99</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99</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132</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132</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132</w:t>
            </w:r>
          </w:p>
        </w:tc>
      </w:tr>
      <w:tr>
        <w:trPr>
          <w:trHeight w:val="389" w:hRule="auto"/>
          <w:jc w:val="left"/>
        </w:trPr>
        <w:tc>
          <w:tcPr>
            <w:tcW w:w="3369" w:type="dxa"/>
            <w:vMerge w:val="restart"/>
            <w:tcBorders>
              <w:top w:val="single" w:color="000000" w:sz="4"/>
              <w:left w:val="single" w:color="000000" w:sz="4"/>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Общее количество</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2"/>
                <w:shd w:fill="auto" w:val="clear"/>
              </w:rPr>
              <w:t xml:space="preserve">часов на внеаудиторные (самостоятельные) занятия</w:t>
            </w:r>
          </w:p>
        </w:tc>
        <w:tc>
          <w:tcPr>
            <w:tcW w:w="5708" w:type="dxa"/>
            <w:gridSpan w:val="8"/>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757</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132</w:t>
            </w:r>
          </w:p>
        </w:tc>
      </w:tr>
      <w:tr>
        <w:trPr>
          <w:trHeight w:val="389" w:hRule="auto"/>
          <w:jc w:val="left"/>
        </w:trPr>
        <w:tc>
          <w:tcPr>
            <w:tcW w:w="3369" w:type="dxa"/>
            <w:vMerge/>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17" w:type="dxa"/>
            <w:gridSpan w:val="9"/>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889</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b/>
                <w:color w:val="auto"/>
                <w:spacing w:val="0"/>
                <w:position w:val="0"/>
                <w:sz w:val="22"/>
                <w:shd w:fill="auto" w:val="clear"/>
              </w:rPr>
              <w:t xml:space="preserve">Максимальное </w:t>
            </w:r>
            <w:r>
              <w:rPr>
                <w:rFonts w:ascii="Times New Roman" w:hAnsi="Times New Roman" w:cs="Times New Roman" w:eastAsia="Times New Roman"/>
                <w:color w:val="auto"/>
                <w:spacing w:val="0"/>
                <w:position w:val="0"/>
                <w:sz w:val="22"/>
                <w:shd w:fill="auto" w:val="clear"/>
              </w:rPr>
              <w:t xml:space="preserve">количество часов занятия в неделю</w:t>
            </w:r>
          </w:p>
        </w:tc>
        <w:tc>
          <w:tcPr>
            <w:tcW w:w="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4</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4</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4</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5</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5</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5</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6,5</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6,5</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6,5</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Общее максимальное количество часов по годам</w:t>
            </w:r>
          </w:p>
        </w:tc>
        <w:tc>
          <w:tcPr>
            <w:tcW w:w="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128</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132</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132</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165</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165</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165</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0"/>
                <w:shd w:fill="auto" w:val="clear"/>
              </w:rPr>
              <w:t xml:space="preserve">214,5</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0"/>
                <w:shd w:fill="auto" w:val="clear"/>
              </w:rPr>
              <w:t xml:space="preserve">214,5</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0"/>
                <w:shd w:fill="auto" w:val="clear"/>
              </w:rPr>
              <w:t xml:space="preserve">214,5</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Общее максимальное количество часов на весь период обучения</w:t>
            </w:r>
          </w:p>
        </w:tc>
        <w:tc>
          <w:tcPr>
            <w:tcW w:w="5708" w:type="dxa"/>
            <w:gridSpan w:val="8"/>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1316</w:t>
            </w:r>
          </w:p>
        </w:tc>
        <w:tc>
          <w:tcPr>
            <w:tcW w:w="7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0"/>
                <w:shd w:fill="auto" w:val="clear"/>
              </w:rPr>
              <w:t xml:space="preserve">214,5</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417" w:type="dxa"/>
            <w:gridSpan w:val="9"/>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1530,5</w:t>
            </w:r>
          </w:p>
        </w:tc>
      </w:tr>
    </w:tbl>
    <w:p>
      <w:pPr>
        <w:spacing w:before="120" w:after="120" w:line="240"/>
        <w:ind w:right="0" w:left="0" w:firstLine="0"/>
        <w:jc w:val="right"/>
        <w:rPr>
          <w:rFonts w:ascii="Times New Roman" w:hAnsi="Times New Roman" w:cs="Times New Roman" w:eastAsia="Times New Roman"/>
          <w:b/>
          <w:i/>
          <w:color w:val="auto"/>
          <w:spacing w:val="0"/>
          <w:position w:val="0"/>
          <w:sz w:val="28"/>
          <w:shd w:fill="auto" w:val="clear"/>
        </w:rPr>
      </w:pPr>
    </w:p>
    <w:p>
      <w:pPr>
        <w:spacing w:before="120" w:after="0" w:line="240"/>
        <w:ind w:right="0" w:left="0" w:firstLine="0"/>
        <w:jc w:val="righ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Таблица 3</w:t>
      </w:r>
    </w:p>
    <w:p>
      <w:pPr>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Срок обучения – 5 (6) лет</w:t>
      </w:r>
    </w:p>
    <w:tbl>
      <w:tblPr/>
      <w:tblGrid>
        <w:gridCol w:w="4361"/>
        <w:gridCol w:w="924"/>
        <w:gridCol w:w="919"/>
        <w:gridCol w:w="992"/>
        <w:gridCol w:w="851"/>
        <w:gridCol w:w="850"/>
        <w:gridCol w:w="850"/>
      </w:tblGrid>
      <w:tr>
        <w:trPr>
          <w:trHeight w:val="389" w:hRule="auto"/>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386"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Распределение по годам обучения</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Класс</w:t>
            </w:r>
          </w:p>
        </w:tc>
        <w:tc>
          <w:tcPr>
            <w:tcW w:w="9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w:t>
            </w:r>
          </w:p>
        </w:tc>
        <w:tc>
          <w:tcPr>
            <w:tcW w:w="9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w:t>
            </w:r>
          </w:p>
        </w:tc>
        <w:tc>
          <w:tcPr>
            <w:tcW w:w="8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4</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5</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6</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position w:val="0"/>
              </w:rPr>
            </w:pPr>
            <w:r>
              <w:rPr>
                <w:rFonts w:ascii="Times New Roman" w:hAnsi="Times New Roman" w:cs="Times New Roman" w:eastAsia="Times New Roman"/>
                <w:color w:val="auto"/>
                <w:spacing w:val="-2"/>
                <w:position w:val="0"/>
                <w:sz w:val="24"/>
                <w:shd w:fill="auto" w:val="clear"/>
              </w:rPr>
              <w:t xml:space="preserve">Продолжительность учебных недель в году</w:t>
            </w:r>
          </w:p>
        </w:tc>
        <w:tc>
          <w:tcPr>
            <w:tcW w:w="9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33</w:t>
            </w:r>
          </w:p>
        </w:tc>
        <w:tc>
          <w:tcPr>
            <w:tcW w:w="9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33</w:t>
            </w:r>
          </w:p>
        </w:tc>
        <w:tc>
          <w:tcPr>
            <w:tcW w:w="8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33</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33</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33</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Количество часов на </w:t>
            </w:r>
            <w:r>
              <w:rPr>
                <w:rFonts w:ascii="Times New Roman" w:hAnsi="Times New Roman" w:cs="Times New Roman" w:eastAsia="Times New Roman"/>
                <w:b/>
                <w:color w:val="auto"/>
                <w:spacing w:val="0"/>
                <w:position w:val="0"/>
                <w:sz w:val="24"/>
                <w:shd w:fill="auto" w:val="clear"/>
              </w:rPr>
              <w:t xml:space="preserve">аудиторные </w:t>
            </w:r>
            <w:r>
              <w:rPr>
                <w:rFonts w:ascii="Times New Roman" w:hAnsi="Times New Roman" w:cs="Times New Roman" w:eastAsia="Times New Roman"/>
                <w:color w:val="auto"/>
                <w:spacing w:val="0"/>
                <w:position w:val="0"/>
                <w:sz w:val="24"/>
                <w:shd w:fill="auto" w:val="clear"/>
              </w:rPr>
              <w:t xml:space="preserve">занятия в неделю</w:t>
            </w:r>
          </w:p>
        </w:tc>
        <w:tc>
          <w:tcPr>
            <w:tcW w:w="9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w:t>
            </w:r>
          </w:p>
        </w:tc>
        <w:tc>
          <w:tcPr>
            <w:tcW w:w="9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w:t>
            </w:r>
          </w:p>
        </w:tc>
        <w:tc>
          <w:tcPr>
            <w:tcW w:w="8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2,5</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2,5</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2,5</w:t>
            </w:r>
          </w:p>
        </w:tc>
      </w:tr>
      <w:tr>
        <w:trPr>
          <w:trHeight w:val="389" w:hRule="auto"/>
          <w:jc w:val="left"/>
        </w:trPr>
        <w:tc>
          <w:tcPr>
            <w:tcW w:w="4361" w:type="dxa"/>
            <w:vMerge w:val="restart"/>
            <w:tcBorders>
              <w:top w:val="single" w:color="000000" w:sz="4"/>
              <w:left w:val="single" w:color="000000" w:sz="4"/>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Общее количество</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часов на аудиторные занятия</w:t>
            </w:r>
          </w:p>
        </w:tc>
        <w:tc>
          <w:tcPr>
            <w:tcW w:w="4536"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363</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82,5</w:t>
            </w:r>
          </w:p>
        </w:tc>
      </w:tr>
      <w:tr>
        <w:trPr>
          <w:trHeight w:val="389" w:hRule="auto"/>
          <w:jc w:val="left"/>
        </w:trPr>
        <w:tc>
          <w:tcPr>
            <w:tcW w:w="4361" w:type="dxa"/>
            <w:vMerge/>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86" w:type="dxa"/>
            <w:gridSpan w:val="6"/>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445,5</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Количество часов на </w:t>
            </w:r>
            <w:r>
              <w:rPr>
                <w:rFonts w:ascii="Times New Roman" w:hAnsi="Times New Roman" w:cs="Times New Roman" w:eastAsia="Times New Roman"/>
                <w:b/>
                <w:color w:val="auto"/>
                <w:spacing w:val="0"/>
                <w:position w:val="0"/>
                <w:sz w:val="24"/>
                <w:shd w:fill="auto" w:val="clear"/>
              </w:rPr>
              <w:t xml:space="preserve">внеаудиторные </w:t>
            </w:r>
            <w:r>
              <w:rPr>
                <w:rFonts w:ascii="Times New Roman" w:hAnsi="Times New Roman" w:cs="Times New Roman" w:eastAsia="Times New Roman"/>
                <w:color w:val="auto"/>
                <w:spacing w:val="0"/>
                <w:position w:val="0"/>
                <w:sz w:val="24"/>
                <w:shd w:fill="auto" w:val="clear"/>
              </w:rPr>
              <w:t xml:space="preserve">(самостоятельные) занятия в неделю</w:t>
            </w:r>
          </w:p>
        </w:tc>
        <w:tc>
          <w:tcPr>
            <w:tcW w:w="9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w:t>
            </w:r>
          </w:p>
        </w:tc>
        <w:tc>
          <w:tcPr>
            <w:tcW w:w="9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w:t>
            </w:r>
          </w:p>
        </w:tc>
        <w:tc>
          <w:tcPr>
            <w:tcW w:w="8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4</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4</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4</w:t>
            </w:r>
          </w:p>
        </w:tc>
      </w:tr>
      <w:tr>
        <w:trPr>
          <w:trHeight w:val="389" w:hRule="auto"/>
          <w:jc w:val="left"/>
        </w:trPr>
        <w:tc>
          <w:tcPr>
            <w:tcW w:w="4361" w:type="dxa"/>
            <w:vMerge w:val="restart"/>
            <w:tcBorders>
              <w:top w:val="single" w:color="000000" w:sz="4"/>
              <w:left w:val="single" w:color="000000" w:sz="4"/>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Общее количество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часов на внеаудиторные</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самостоятельные) занятия</w:t>
            </w:r>
          </w:p>
        </w:tc>
        <w:tc>
          <w:tcPr>
            <w:tcW w:w="4536"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561</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132</w:t>
            </w:r>
          </w:p>
        </w:tc>
      </w:tr>
      <w:tr>
        <w:trPr>
          <w:trHeight w:val="389" w:hRule="auto"/>
          <w:jc w:val="left"/>
        </w:trPr>
        <w:tc>
          <w:tcPr>
            <w:tcW w:w="4361" w:type="dxa"/>
            <w:vMerge/>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86"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693</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Максимальное</w:t>
            </w:r>
            <w:r>
              <w:rPr>
                <w:rFonts w:ascii="Times New Roman" w:hAnsi="Times New Roman" w:cs="Times New Roman" w:eastAsia="Times New Roman"/>
                <w:color w:val="auto"/>
                <w:spacing w:val="0"/>
                <w:position w:val="0"/>
                <w:sz w:val="24"/>
                <w:shd w:fill="auto" w:val="clear"/>
              </w:rPr>
              <w:t xml:space="preserve"> количество часов на занятия в неделю</w:t>
            </w:r>
          </w:p>
        </w:tc>
        <w:tc>
          <w:tcPr>
            <w:tcW w:w="9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5</w:t>
            </w:r>
          </w:p>
        </w:tc>
        <w:tc>
          <w:tcPr>
            <w:tcW w:w="9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5</w:t>
            </w:r>
          </w:p>
        </w:tc>
        <w:tc>
          <w:tcPr>
            <w:tcW w:w="8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6,5</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6,5</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6,5</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Общее максимальное количество часов по годам</w:t>
            </w:r>
          </w:p>
        </w:tc>
        <w:tc>
          <w:tcPr>
            <w:tcW w:w="9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165</w:t>
            </w:r>
          </w:p>
        </w:tc>
        <w:tc>
          <w:tcPr>
            <w:tcW w:w="9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165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165</w:t>
            </w:r>
          </w:p>
        </w:tc>
        <w:tc>
          <w:tcPr>
            <w:tcW w:w="8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214,5</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214,5</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214,5</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Общее максимальное количество часов на весь период обучения</w:t>
            </w:r>
          </w:p>
        </w:tc>
        <w:tc>
          <w:tcPr>
            <w:tcW w:w="4536"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924</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214,5</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386"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1138,5</w:t>
            </w:r>
          </w:p>
        </w:tc>
      </w:tr>
    </w:tbl>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Учебный материал распределяется по годам обучения (классам). Каждый класс имеет свои дидактические задачи и объем времени, данное время направлено на освоение учебного материала.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Объем времени на самостоятельную работу учащихся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pPr>
        <w:spacing w:before="0" w:after="0" w:line="36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Виды внеаудиторной работы: </w:t>
      </w:r>
    </w:p>
    <w:p>
      <w:pPr>
        <w:numPr>
          <w:ilvl w:val="0"/>
          <w:numId w:val="179"/>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выполнение домашнего задания;</w:t>
      </w:r>
    </w:p>
    <w:p>
      <w:pPr>
        <w:numPr>
          <w:ilvl w:val="0"/>
          <w:numId w:val="179"/>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подготовка к контрольным урокам, зачетам и экзаменам;</w:t>
      </w:r>
    </w:p>
    <w:p>
      <w:pPr>
        <w:numPr>
          <w:ilvl w:val="0"/>
          <w:numId w:val="179"/>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подготовка к концертным, конкурсным выступлениям;</w:t>
      </w:r>
    </w:p>
    <w:p>
      <w:pPr>
        <w:numPr>
          <w:ilvl w:val="0"/>
          <w:numId w:val="179"/>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посещение учреждений культуры (филармоний, театров, концертных залов, музеев и др.); </w:t>
      </w:r>
    </w:p>
    <w:p>
      <w:pPr>
        <w:numPr>
          <w:ilvl w:val="0"/>
          <w:numId w:val="179"/>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участие учащихся в творческих мероприятиях и культурно-просветительской деятельности образовательной организации и др.</w:t>
      </w:r>
    </w:p>
    <w:p>
      <w:pPr>
        <w:spacing w:before="120" w:after="12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Годовые требования по классам </w:t>
      </w:r>
    </w:p>
    <w:p>
      <w:pPr>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Срок обучения – 8 (9) лет </w:t>
      </w:r>
    </w:p>
    <w:p>
      <w:pPr>
        <w:keepNext w:val="true"/>
        <w:keepLines w:val="true"/>
        <w:spacing w:before="200" w:after="0" w:line="4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Первый класс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Знакомство с инструментом. Названия частей гитары. Посадка и постановка правой руки, организация целесообразных игровых движений. Аппликатурные обозначения. Освоение приема тирандо. Игра большим пальцем правой руки по открытым басовым струнам.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Постановка левой руки. Позиция. Игра большим пальцем правой руки с привлечением левой руки в средних позициях (V–VII). Первоначальное освоение более низких позиций (I–IV). Освоение основных видов арпеджио на открытых струнах. Ознакомление с буквенно-цифровыми обозначениями аккордов. Изучение четырехзвучных арпеджированных аккордов в первой позиции.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Нотная грамота и чтение нот в первой и второй позициях. Качество звучания и ритм. Исполнение двойных нот и аккордов в правой руке. Арпеджиато. Восходящее и нисходящее легато. Ознакомление с настройкой инструмента. Переход к игре на одной струне путем чередования пальцев правой руки.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учебного года педагог должен проработать с учеником 15-20 музыкальных произведений: народные и/или популярные детские песни, пьесы песенного и танцевального характера, этюды и ансамбли (с педагогом). В исключительных случаях для продвинутых учащихся целесообразно ознакомление с приемом баррэ. В этот период желательно проходить большой объем музыкального материала ввиду его достаточной лаконичности, формировать навыки чтения с листа, уделить особое внимание к звукоизвлечению.</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переводного зачета:</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1 (самый несложный)</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Прелюд До мажор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Прелюд ми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Этюд ля минор</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2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Аллегро  ля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Аллегретто ми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Прелюдия ми минор</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Андантино ля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Поврозняк Ю. Марш</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Ходила младешенька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В.Яшнева</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Фортеа Д. Вальс ля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Кригер И. Бурре</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Этюд До мажор</w:t>
      </w:r>
    </w:p>
    <w:p>
      <w:pPr>
        <w:keepNext w:val="true"/>
        <w:keepLines w:val="true"/>
        <w:spacing w:before="200" w:after="0" w:line="4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Второй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Продолжение работы над постановкой рук, свободой игровых движений. Работа над чередованием пальцев правой руки по одной струне и качеством исполнения тирандо. Первоначальное ознакомление с гаммообразными элементами. Динамика звучания. Развитие силы и уверенности пальцев правой руки. Знакомство с грифом гитары в пределах четырех-девяти позиций. Развитие начальных навыков смены позиций и чтения нот с листа. Работа над переходами со струны на струну. Элементарные виды флажолетов. Дальнейшее развитие навыков смены позиции. Подготовка к игре в ансамбле на простейшем материале. Развитие техники баррэ.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продвинутых учащихся при необходимости можно включать в годовой план изучение простейших однооктавных мажорных гамм в первой позиции (i-m, тирандо).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Дальнейшее развитие музыкально-образного мышления. Знакомство с элементами полифонии. В течение учебного года педагог должен проработать с учеником 10-15 различных произведений, включая ансамбли (с педагогом) и этюды. В исключительных случаях для продвинутых учащихся целесообразно включение в план 1-2 произведений с элементами полифонии, вариационной или сонатной формы.</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Гаммы:</w:t>
      </w:r>
    </w:p>
    <w:p>
      <w:pPr>
        <w:spacing w:before="0" w:after="0" w:line="360"/>
        <w:ind w:right="0" w:left="0" w:firstLine="72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Соль, До, Фа мажор, однооктавные в первой позиции.</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переводного зачета:</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Неизвестный автор XVII в. Ария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Андантино ля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Нейланд В. Галоп</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Паганини Н. Вальс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Танец</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Этюд ми минор</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Гречанинов А. Мазурка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Аллегретто Ре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 </w:t>
      </w:r>
      <w:r>
        <w:rPr>
          <w:rFonts w:ascii="Times New Roman" w:hAnsi="Times New Roman" w:cs="Times New Roman" w:eastAsia="Times New Roman"/>
          <w:color w:val="auto"/>
          <w:spacing w:val="0"/>
          <w:position w:val="0"/>
          <w:sz w:val="28"/>
          <w:shd w:fill="auto" w:val="clear"/>
        </w:rPr>
        <w:t xml:space="preserve">шумить, i гуде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А.Иванова-Крамского</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Чешская песенка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Л.Шумеева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Вайс С.Л. Менуэт</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Вальс Фа мажор</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Третий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беглости пальцев правой руки. Совершенствование исполнения различных видов арпеджио. Развитие беглости пальцев левой руки и техники легато. Работа над координацией действий рук в гаммообразных элементах. Смешанное легато. Подготовка к исполнению мордента. Освоение навыка вибрато. Прием апояндо. Исполнение гаммообразных элементов апояндо. Развитие техники баррэ. Работа над сменой позиций в произведениях. Расширенная и суженная позиции. Двухоктавные мажорные гаммы в первой позиции.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Изучение буквенно-цифровых обозначений аккордов. Знакомство с простейшим аккомпанементом четырехзвучными аккордами.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музыкально-образного мышления и исполнительских навыков учащихся. Работа над качеством звука, сменой позиций, ритмом. Дальнейшая работа над простейшими видами полифонии. Подготовка к изучению крупной формы. В течение учебного года проработать с учеником 10-15 различных произведений, в том числе, 1-2 полифонические пьесы, 1-2 произведения крупной формы, ансамбли и этюды на различные виды техники.</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Гаммы:</w:t>
      </w:r>
    </w:p>
    <w:p>
      <w:pPr>
        <w:spacing w:before="0" w:after="0" w:line="360"/>
        <w:ind w:right="0" w:left="0" w:firstLine="72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Соль, Ми, Фа мажор, двухоктавные, в первой позиции.</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переводного зачета:</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Ларгетто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Агуадо Д. Маленький вальс Соль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Мазурка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К.Сосиньского</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Циполи Д. Менуэт ре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Мертц Й. Чардаш</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Сагрерас Х. Этюд До мажор</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Рокамора М. Мазурка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Кост Н. Баркарола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Ля мажор, ор.60, №3</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Менуэт ми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Рондо Соль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Пойду ль я, выйду ль 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А.Иванова-Крамского</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Четвертый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уверенности и беглости пальцев обеих рук. Сложные виды арпеджио. Совершенствование техники аккордовой игры. Ознакомление с колористическими приемами игры. Совершенствование техники баррэ. Расгеадо. Совершенствование техники вибрации. Совершенствование техники легато. Исполнение мелизмов: форшлаг, мордент, группетто. Искусственные флажолеты. Закрепление навыков игры в позициях. Простые минорные гаммы в I позиции с открытыми струнами. Двухоктавные мажорные гаммы в I-III позициях. Для профессионально ориентированных учащихся предлагается включать в план гаммы в аппликатуре А.Сеговии.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навыков аккомпанемента с использованием обращений четырехзвучных аккордов, освоение способов их записи.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В течение учебного года проработать с учеником 9-12 различных музыкальных произведений, в том числе, 2-3 полифонические пьесы, 1-2 произведения крупной формы, ансамбли и этюды.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профессионально ориентированных учащихся предлагается включать в план не менее 3 полифонических пьес, 2 произведений крупной формы, 6 этюдов на различные виды техники.</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Гаммы:</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Соль мажор, двухоктавная во II позиции с перемещением в I и III позиции;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 мажор в аппликатуре А. Сеговии;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ми минор мелодический в I позиции.</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переводного зачета:</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Менуэт Соль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Паганини Н. Сонатина До мажор, №2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для синьоры де Лукка</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Уж, как пал туман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М.Высотского</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Кост Н. Рондолетто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Чайковский П.И.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 церкви</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ля минор, ор.60, №7 </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Гендель Г.Ф. Сарабанда ми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Цыганская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Сосница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М.Александровой</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ля минор, ор.100, №11</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Санс Г. Эспаньолета и Руджеро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Роч П. Хабанера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Этюд Соль мажор</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Вайс С.Л. Фантазия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Сонатина До мажор, ор.71, №1,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Этюд си минор, ор.35, №22</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Пятый класс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Работа над звукоизвлечением. Смена позиции с помощью глиссандо. Тамбурин. Совершенствование техники чередования пальцев в различных видах арпеджио. Работа над беглостью пальцев правой руки. Имитация малого барабана. Совершенствование техники чередования пальцев в различных видах гамм. Дальнейшее совершенствование техники легато. Трель. Сложные флажолеты. Тремоло. Пиццикато. Закрепление навыков игры в высоких позициях. Простые гаммы в аппликатуре А.Сеговии. Хроматическая гамма в I позиции.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Дальнейшее развитие музыкально-художественного мышления, исполнительских навыков и самостоятельности учащегося. Повышение требовательности к выразительному исполнению. Усложнение ритмических задач. Закрепление навыков чтения нот с листа и аккомпанемента.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учебного года проработать с учеником 9-12 различных музыкальных произведений, в том числе, 2-3 полифонических произведения, 1-2 произведения крупной  формы, 2-4 этюда, ансамбли. </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Гаммы:</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 Фа, Ми мажор в аппликатуре А.Сеговии;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хроматическая гамма в I позиции.</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переводного зачета:</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Неизвестный автор. Жига Ре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Андантино Ля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Кардосо Х. Милонга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ми минор, ор.100, №13</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Бурре ми минор, BWV 996</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Паганини Н. Сонатина До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Лауро А. Негрито (венесуэльский вальс)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До мажор, ор.60, №15</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Галилей В. Канцона и Гальярда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Аделита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мазурка)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Пернамбуко Ж. Звуки колокольчиков</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Ля мажор, ор.60, №23</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Сарабанда (и Дубль) си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Вальс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Аргентинская народная мелодия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М.-Л.Анидо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ми минор, ор.48, №5</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Прелюдия Ре мажор, BWV 1007</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Паганини Н. Соната До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Понсе 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Звездочка</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Дамас Т.– Таррега Ф. Этюд-скерцо Ля мажор</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Шестой класс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Совершенствование звукоизвлечения. Работа над координацией действий обеих рук. Совершенствование аккордовой игры.  Совершенствование техники левой руки. Совершенствование техники исполнения легато. Совершенствование техники исполнения мелизмов. Совершенствование техники исполнения различных видов соединения позиций. Освоение мажорных гамм в аппликатуре А.Сеговии в заданном темпе, различными ритмическими фигурами. Ознакомление с минорными гаммами в аппликатуре А.Сеговии. Хроматическая трехоктавная гамма.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музыкального мышления и исполнительских навыков. Работа над звукоизвлечением и координацией действий обеих рук.</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учебного года проработать с учеником 9-12 произведений, в том числе, 2-3 полифонических произведения, 1-2 произведения крупной формы, 2-4 этюда. </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Гаммы:</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 Фа, Ми, Соль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 ми минор мелодический;</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хроматическая трехоктавная гамма.</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переводного зачета:</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Прелюдия ре минор, BWV 999</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Альберт Г. Соната ми минор, №1,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Лауро А. Венесуэльский вальс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Ля мажор, ор.60, №9</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Гавот Ми мажор, BWV 1012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Рондо Ре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Лауро А. Венесуэльский вальс (La negra)</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Ми мажор, ор.48, №9</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Бурре (и Дубль) си минор, BWV 1002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Альберт Г. Соната ми минор, №1, III ч. (Рондо)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Грезы</w:t>
      </w:r>
      <w:r>
        <w:rPr>
          <w:rFonts w:ascii="Times New Roman" w:hAnsi="Times New Roman" w:cs="Times New Roman" w:eastAsia="Times New Roman"/>
          <w:color w:val="auto"/>
          <w:spacing w:val="0"/>
          <w:position w:val="0"/>
          <w:sz w:val="28"/>
          <w:shd w:fill="auto" w:val="clear"/>
        </w:rPr>
        <w:t xml:space="preserve">»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Ре мажор, ор.60, №14</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Санс Г. Канариос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Скарлатти А. – Понсе М. Гавот</w:t>
        <w:tab/>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Савио И. Музыкальная шкатулка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ми минор, ор.60, №19</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Прелюдия Ля мажор, BWV 1009</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Вариации на тему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Фолии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ор.15 bis</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Понсе М. Мексиканское скерцино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До мажор, ор.48, №19</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Седьмой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Продолжение работы над техникой смены позиции. Замещение. Скольжение. Опережение. Скачки. Техника исполнения двойных нот. Современные колористические приемы игры. Повышение уровня пальцевой беглости. Соло левой руки. Совершенствование координации действий обеих рук. Дальнейшее совершенствование исполнения различных видов гамм и упражнений, техники аккомпанемента. Шестизвучные аккорды, способы их буквенно-цифровой записи и применения.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Продолжение развития музыкально-образного мышления, исполнительских навыков и самостоятельности учащегося. Повышение требовательности к выразительному исполнению, совершенствование техники звукоизвлечения. Усложнение ритмических задач.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учебного года проработать с учеником 8-10 разнохарактерных произведений, включая полифонию, крупную форму, несколько этюдов. </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Гаммы:</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Ля  мажор;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 и Соль мажор с перемещением в различные позиции (I-IV);</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соль, ля минор мелодический.</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переводного зачета:</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Понсе М. Гавот (в стиле С. Л. Вайса)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Сонатина Соль мажор, ор.71, №2,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Морель Х. Романс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До мажор, ор.60, №22</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Куранта Ля мажор, BWV 1009</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Сонатина Ре мажор, ор.71, №3, IV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Вила-Лобос Э. Шоро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Пухоль Э.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Шмель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этюд)</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Аллеманда ля минор, BWV 996</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Диабелли А. Соната До мажор,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Альбенис 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Шумы залива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малагенья)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Вила-Лобос Э. Этюд №1</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Гавот I – II  ля минор, BWV 995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Соната До мажор, ор.22, IV ч. (Рондо)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Тарантелла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Этюд Ми мажор (de velocidad)</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Восьмой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Формирование  всего комплекса навыков и знаний, полученных за время обучения. Углубленная работа над звуком. Разбор произведений итоговой выпускной программы. Углубленная работа над техникой игры. Работа над гаммами. Исполнение гамм в заданном темпе. Целенаправленная подготовка профессионально ориентированных учащихся к поступлению в профессиональное учебное заведение. Углубленное изучение произведений, входящих в программу вступительного экзамена в колледж. Участие в концертной жизни класса и школы.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 выпускному экзамену необходимо приготовить 4-5 разнохарактерных пьес, включая полифоническую пьесу, произведение крупной формы, этюд.</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выпускного экзамена:</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Прелюдия ля минор, BWV 997</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Леньяни Л. Скерцо с вариациями, ор.10</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Высотский 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Пряха</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Этюд ми минор, ор.6, №11</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Мударра А. Фантазия №10</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Соната Ля мажор,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Понсе М. Аллеманда (в стиле С.Л.Вайса)</w:t>
      </w:r>
    </w:p>
    <w:p>
      <w:pPr>
        <w:spacing w:before="0" w:after="0" w:line="360"/>
        <w:ind w:right="0" w:left="0" w:firstLine="72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Вила-Лобос Э. Этюд №8</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Аллеманда Ля мажор, BWV 1009</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Диабелли А. Соната Фа мажор, №3,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Гранадос Э. Испанский танец №5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Ми мажор, ор.48, №23</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Гавот в форме рондо Ми мажор, BWV 1006a</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Соната До мажор, ор.15,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Малатс Х. Испанская серенада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ор.60, №25</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Девятый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Дальнейшее совершенствование всего комплекса навыков и знаний, полученных за время обучения и повышение уровня развития музыкально-художественного мышления учащихся. Углубленная работа над звуком. Целенаправленная подготовка учащихся к поступлению в образовательную организацию среднего профессионального образования. Дальнейшее совершенствование произведений, входящих в программу вступительного экзамена в колледж. Участие в классных, тематических, общешкольных и выездных концертах.</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итогового экзамена:</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Жига Ля мажор, BWV 1009</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Ф.Сор. Интродукция и вариации на тему Моцарта, ор.9</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Арабское каприччио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Сагрерас 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Колибри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этюд)</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Фрескобальди Дж. Ария с вариациями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Морено-Торроба Ф. Сонатина,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Лауро А. Ангостура (венесуэльский вальс)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Кост Н. Этюд Ля мажор, ор.38, №22</w:t>
      </w:r>
    </w:p>
    <w:p>
      <w:pPr>
        <w:spacing w:before="0" w:after="0" w:line="360"/>
        <w:ind w:right="0" w:left="0" w:firstLine="50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Гендель Г.Ф. Чакона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Соната До мажор, ор.15, III ч.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Альбенис 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Кадис</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серенада)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Вила-Лобос Э. Этюд №3</w:t>
      </w:r>
    </w:p>
    <w:p>
      <w:pPr>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Срок обучения – 5 (6) лет</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Требования по специальности для обучающихся на гитаре сроком 5 лет те же, что и при 8-летнем обучении, но осваиваются в несколько сжатой форме и частично перемещены с учетом возрастной специфики учащихся.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Репертуар должен во всех классах включать в себя разнохарактерные произведения различных стилей, жанров, при этом общий уровень сложности может быть несколько ниже, чем по программе 8-9-летнего срока обучения. Несколько большее внимание следует уделить формированию навыков аккомпанемента в младших классах. Ученики, занимающиеся по пятилетней программе,  должны принимать активное участие в концертной деятельности, участвовать в конкурсах. Основная задача педагога - направить на максимальную реализацию творческий потенциал ученика, при необходимости - подготовить его к  поступлению в образовательную организацию среднего профессионального образования.</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Первый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музыкально-слуховых представлений и музыкально-образного мышления. Посадка и постановка рук, организация целесообразных игровых движений. Аппликатурные обозначения. Освоение приема тирандо. Игра большим пальцем правой руки по открытым басовым струнам и с привлечением левой руки в средних позициях (V-VII). Освоение основных видов арпеджио на открытых струнах, ознакомление с буквенно-цифровыми обозначениями аккордов и изучение четырехзвучных арпеджированных аккордов в первой позиции. Нотная грамота и чтение нот в первой и второй позициях. Качество звучания и ритм. Исполнение двойных нот и аккордов в правой руке. Восходящее и нисходящее легато. Ознакомление с настройкой инструмента. Переход к игре на одной струне путем чередования пальцев правой руки.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течение учебного года педагог должен проработать с учеником 20-30 музыкальных произведений: народные песни, пьесы песенного и танцевального характера, этюды и ансамбли (с педагогом). Для более продвинутых учащихся целесообразно освоение легких пьес с элементами полифонии, несложных вариаций, ознакомление с приемом баррэ.</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переводного зачета:</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1 (самый несложный)</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Вальс До мажор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Прелюдия ми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До мажор, ор.100, №1</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2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Аллегретто ми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Поврозняк Ю. Марш</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Ходила младешенька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В.Яшнева</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Неизвестный автор XVII в. Ария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Андантино ля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Нейланд В. Галоп</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Кригер И. Бурре</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Как по морю</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А.Иванова-Крамского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Этюд До мажор</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Паганини Н. Вальс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Танец</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Этюд ми минор</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Второй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музыкально-образного мышления. Знакомство с элементами полифонии. Продолжение работы над постановочно-двигательными навыками, звукоизвлечением и ритмом. Повышение требовательности к качеству исполнения тирандо. Развитие силы и уверенности пальцев правой руки. Динамика звучания. Знакомство с грифом гитары в пределах четырех-девяти позиций. Расширенная и суженная позиции. Развитие начальных навыков смены позиций, чтения нот с листа, аккомпанемента с использованием обращений четырехзвучных аккордов, освоение способов их записи.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Работа над переходами со струны на струну. Элементарные виды флажолетов. Подготовка к игре в ансамбле на простом музкальном материале. Развитие техники баррэ.</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учебного года педагог должен проработать с учеником 12-20 различных произведений, включая ансамбли и этюды. Для продвинутых учащихся целесообразно включение в план 2-4 произведений с элементами полифонии и крупной формы, а также изучение гамм в пределах двух первых позиций (</w:t>
      </w:r>
      <w:r>
        <w:rPr>
          <w:rFonts w:ascii="Times New Roman" w:hAnsi="Times New Roman" w:cs="Times New Roman" w:eastAsia="Times New Roman"/>
          <w:i/>
          <w:color w:val="auto"/>
          <w:spacing w:val="0"/>
          <w:position w:val="0"/>
          <w:sz w:val="28"/>
          <w:shd w:fill="auto" w:val="clear"/>
        </w:rPr>
        <w:t xml:space="preserve">i-m</w:t>
      </w:r>
      <w:r>
        <w:rPr>
          <w:rFonts w:ascii="Times New Roman" w:hAnsi="Times New Roman" w:cs="Times New Roman" w:eastAsia="Times New Roman"/>
          <w:color w:val="auto"/>
          <w:spacing w:val="0"/>
          <w:position w:val="0"/>
          <w:sz w:val="28"/>
          <w:shd w:fill="auto" w:val="clear"/>
        </w:rPr>
        <w:t xml:space="preserve">, тирандо).</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Гаммы:</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Ми, Фа мажор, двухоктавные, в первой позиции;</w:t>
      </w:r>
    </w:p>
    <w:p>
      <w:pPr>
        <w:spacing w:before="0" w:after="0" w:line="360"/>
        <w:ind w:right="0" w:left="0" w:firstLine="72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Соль мажор, двухоктавная во II позиции.</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переводного зачета:</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Вайс С.Л. Менуэт</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 </w:t>
      </w:r>
      <w:r>
        <w:rPr>
          <w:rFonts w:ascii="Times New Roman" w:hAnsi="Times New Roman" w:cs="Times New Roman" w:eastAsia="Times New Roman"/>
          <w:color w:val="auto"/>
          <w:spacing w:val="0"/>
          <w:position w:val="0"/>
          <w:sz w:val="28"/>
          <w:shd w:fill="auto" w:val="clear"/>
        </w:rPr>
        <w:t xml:space="preserve">шумить, i гуде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А.Иванова-Крамского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Вальс Фа мажор</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Шуман Р. Военный марш</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Гречанинов А. Мазурка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Аллегретто Ре мажор</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Мертц Й. Чардаш</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 Визе Р. Менуэт</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Сагрерас Х. Этюд Ре мажор</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Ларгетто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Агуадо Д. Маленький вальс Соль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Мазурка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К.Сосиньского</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Санс Г. Эспаньолета и Руджеро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Рокамора М. Мазурка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Ля мажор, ор.60, №3</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6</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Менуэт ми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Рондо Соль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Слеза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прелюдия)</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Третий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музыкально-образного мышления и исполнительских навыков учащихся. Работа над качеством звука, сменой позиций, ритмом. Упражнения для развития беглости пальцев, техники легато и баррэ. Смешанное легато. Подготовка к исполнению мордента. Освоение навыка вибрации. Прием апояндо. Исполнение гаммообразных элементов апояндо. Развитие техники баррэ. Работа над сменой позиций в произведениях. Подготовка к изучению крупной формы. Игра в ансамбле. Закрепление навыков чтения нот с листа и аккомпанемента.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Простейшие минорные гаммы в I позиции с открытыми струнами. Двухоктавные мажорные гаммы в I-III позициях. Хроматическая гамма в I позиции.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учебного года проработать с учеником 14-18 различных произведений, в том числе 2-4 полифонические пьесы, 1-2 произведения крупной формы, ансамбли и этюды на различные виды техники. Для продвинутых и профессионально ориентированных учащихся рекомендуется изучение нетрудных мажорных гамм в аппликатуре  А.Сеговии  формулами  </w:t>
      </w:r>
      <w:r>
        <w:rPr>
          <w:rFonts w:ascii="Times New Roman" w:hAnsi="Times New Roman" w:cs="Times New Roman" w:eastAsia="Times New Roman"/>
          <w:b/>
          <w:i/>
          <w:color w:val="auto"/>
          <w:spacing w:val="0"/>
          <w:position w:val="0"/>
          <w:sz w:val="28"/>
          <w:shd w:fill="auto" w:val="clear"/>
        </w:rPr>
        <w:t xml:space="preserve">i-m</w:t>
      </w:r>
      <w:r>
        <w:rPr>
          <w:rFonts w:ascii="Times New Roman" w:hAnsi="Times New Roman" w:cs="Times New Roman" w:eastAsia="Times New Roman"/>
          <w:color w:val="auto"/>
          <w:spacing w:val="0"/>
          <w:position w:val="0"/>
          <w:sz w:val="28"/>
          <w:shd w:fill="auto" w:val="clear"/>
        </w:rPr>
        <w:t xml:space="preserve"> и </w:t>
      </w:r>
      <w:r>
        <w:rPr>
          <w:rFonts w:ascii="Times New Roman" w:hAnsi="Times New Roman" w:cs="Times New Roman" w:eastAsia="Times New Roman"/>
          <w:b/>
          <w:i/>
          <w:color w:val="auto"/>
          <w:spacing w:val="0"/>
          <w:position w:val="0"/>
          <w:sz w:val="28"/>
          <w:shd w:fill="auto" w:val="clear"/>
        </w:rPr>
        <w:t xml:space="preserve">m-a</w:t>
      </w:r>
      <w:r>
        <w:rPr>
          <w:rFonts w:ascii="Times New Roman" w:hAnsi="Times New Roman" w:cs="Times New Roman" w:eastAsia="Times New Roman"/>
          <w:color w:val="auto"/>
          <w:spacing w:val="0"/>
          <w:position w:val="0"/>
          <w:sz w:val="28"/>
          <w:shd w:fill="auto" w:val="clear"/>
        </w:rPr>
        <w:t xml:space="preserve"> (тирандо и апояндо), а также упражнений для развития техники арпеджио и легато.</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Гаммы:</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 Фа мажор в аппликатуре А.Сеговии;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Соль мажор, двухоктавная во II позиции с перемещением в I и III позиции;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хроматическая гамма в I позиции;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ми минор мелодический в I позиции.</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переводного зачета:</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Менуэт Соль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Паганини Н. Сонатина До мажор, №2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для синьоры де Лукка</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Уж как пал туман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М.Высотского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Этюд ля минор, ор.31, №20</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Гендель Г.Ф. Сарабанда ми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Аллегретто Фа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Цыганская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Сосница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М. Александровой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ля минор, ор.100, №11</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Полонез ля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Роч П. Хабанера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Чайковский П.И. Старинная французская песенка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Этюд Соль мажор</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Вайс С.Л. Фантазия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Сонатина До мажор, ор.71, №1,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Ох, болит, что болит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М.Высотского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Этюд си минор, ор.35, №22</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Сарабанда (и Дубль) си минор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Вальс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Аргентинская народная мелодия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М.-Л.Анидо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ми минор, ор.48, №5</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Четвертый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исполнительских навыков при более высоких требованиях  к качеству звука и выразительности исполнения. Работа над звукоизвлечением, динамикой, ритмом. Смена позиции с помощью глиссандо. Закрепление навыков игры в позициях. Сложные виды арпеджио. Совершенствование техники аккордовой игры, баррэ, вибрации и легато. Мелизмы. Ознакомление с колористическими приемами игры. Искусственные и сложные флажолеты.</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Дальнейшее развитие музыкально-художественного мышления и самостоятельности учащегося. Усложнение ритмических задач. Закрепление навыков чтения нот с листа и аккомпанемента. Освоение мажорных гамм в аппликатуре А.Сеговии в заданном темпе, различными ритмическими фигурами. Ознакомление с минорными гаммами в аппликатуре А.Сеговии. Хроматическая трехоктавная гамма.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учебного года проработать с учеником 13-18 различных музыкальных произведений, в том числе, 2-4 полифонические пьесы, 1-2 произведения крупной формы, ансамбли и этюды. Двухоктавные минорные мелодические гаммы.</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профессионально ориентированных учащихся предлагается включать в план не менее 4 полифонических пьес, 2 произведений крупной формы, 6 этюдов на различные виды техники, а также гаммы в аппликатуре А.Сеговии.</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Гаммы:</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Ми, Соль, Ля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 ми минор мелодический;</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хроматическая трехоктавная гамма.</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переводного зачета:</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Неизвестный автор. Жига Ре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Андантино Ля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Разжигаю я костер</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С.Орехова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Этюд в форме менуэта</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Галилей В. Канцона и Гальярда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Аделита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мазурка)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Пернамбуко Ж. Звуки колокольчиков</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Ля мажор, ор.60, №23</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 Визе Р. Пассакалья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Кост Н. Рондо Соль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Кардосо Х. Милонга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ми минор, ор.100, №13</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Прелюдия ре минор, BWV 999</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Альберт Г. Соната ми минор, №1,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Лауро А. Венесуэльский вальс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Ля мажор, ор.60, №9</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Гавот Ми мажор, BWV 1012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Рондо Ре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Лауро А. Венесуэльский вальс (La negra)</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Ми мажор, ор.48, №9</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Пятый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Формирование всего комплекса навыков и знаний, полученных за время обучения. Углубленная работа над звуком. Разбор произведений итоговой выпускной программы. Исполнение гамм в заданном темпе. Целенаправленная подготовка профессионально ориентированных учащихся к поступлению в образовательную организацию среднего профессионального образования.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Современные колористические приемы игры. Соло левой руки. Дальнейшее совершенствование исполнения различных видов гамм и упражнений, техники аккомпанемента. Шестизвучные аккорды, способы их буквенно-цифровой записи и применения.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Углубленное изучение произведений, входящих в программу вступительного экзамена в колледж. Участие в концертной жизни класса и школы.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 выпускному экзамену необходимо приготовить 4-5 разнохарактерных пьес, включая полифоническую пьесу, произведение крупной формы, этюд.</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выпускного экзамена:</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Бурре (и Дубль) си минор, BWV 1002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Альберт Г. Соната ми минор, №1, III ч. (Рондо)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Грезы</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Ре мажор, ор.60, №14</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Гавот I – II  ля минор, BWV 995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Вариации на тему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Фолии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ор.15 bis</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Морель Х. Романс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Этюд Ми мажор (de velocidad)</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Санс Г. Канариос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Скарлатти А. – Понсе М. Гавот</w:t>
        <w:tab/>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Савио И. Музыкальная шкатулка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ми минор, ор.60, №19</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Прелюдия ре мажор, BWV 1007</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Паганини Н. Соната До мажор</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Абреу С.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Тико-тико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самба)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Дамас Т.– Таррега Ф. Этюд-скерцо Ля мажор</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Куранта Ля мажор, BWV 1009</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Сонатина Ре мажор, ор.71, №3, IV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Вила-Лобос Э. Шоро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Пухоль Э.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Шмель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этюд)</w:t>
      </w:r>
    </w:p>
    <w:p>
      <w:pPr>
        <w:keepNext w:val="true"/>
        <w:keepLines w:val="true"/>
        <w:spacing w:before="20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Шестой  класс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Совершенствование навыков и знаний, полученных за время обучения. Повышение уровня развития музыкально-художественного мышления учащихся, углубленная работа над звуком и техникой исполнения. Целенаправленная подготовка учащихся к поступлению в образовательную организацию среднего профессионального образования. Изучение различных по стилям и жанрам произведений, в том числе, входящих в программу вступительного экзамена. Совершенствование исполнения гамм, упражнений и этюдов. Участие в классных, тематических, общешкольных и выездных концертах.</w:t>
      </w:r>
    </w:p>
    <w:p>
      <w:pPr>
        <w:keepNext w:val="true"/>
        <w:spacing w:before="0" w:after="0" w:line="360"/>
        <w:ind w:right="0" w:left="0" w:firstLine="502"/>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Примеры программ итогового экзамена:</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1</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Понсе М. Гавот (в стиле С.Л.Вайса)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Сонатина Соль мажор, ор.71, №2,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Барриос А. Дон Перес Фрэир (танго)</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Ми мажор, ор.48, №23</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Мударра А. Фантазия №10</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Соната Ля мажор,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Альбенис 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Шумы залива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малагенья)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Вила-Лобос Э. Этюд №8</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3</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Прелюдия Ля мажор, BWV 1009</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Диабелли А. Соната До мажор,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Высотский 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Пряха</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Этюд До мажор, ор.48, №19</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4</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Аллеманда ля минор, BWV 996</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Леньяни Л. Скерцо с вариациями, ор.10</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Лауро А. Ангостура (венесуэльский вальс)</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Вила-Лобос Э. Этюд №1</w:t>
      </w:r>
    </w:p>
    <w:p>
      <w:pPr>
        <w:spacing w:before="0" w:after="0" w:line="360"/>
        <w:ind w:right="0" w:left="0" w:firstLine="502"/>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Вариант 5</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Фрескобальди Дж. Ария с вариациями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Джулиани М. Соната До мажор, ор.15, I ч.</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Тарантелла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Этюд До мажор, ор.60, №22</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p>
    <w:p>
      <w:pPr>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III. </w:t>
      </w:r>
      <w:r>
        <w:rPr>
          <w:rFonts w:ascii="Times New Roman" w:hAnsi="Times New Roman" w:cs="Times New Roman" w:eastAsia="Times New Roman"/>
          <w:b/>
          <w:color w:val="auto"/>
          <w:spacing w:val="0"/>
          <w:position w:val="0"/>
          <w:sz w:val="28"/>
          <w:shd w:fill="auto" w:val="clear"/>
        </w:rPr>
        <w:t xml:space="preserve">ТРЕБОВАНИЯ К УРОВНЮ ПОДГОТОВКИ УЧАЩИХСЯ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приобретение им художественно-исполнительских знаний, умений и навыков.</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Таким образом, ученик к концу прохождения курса программы обучения должен:</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основные исторические сведения об инструменте;</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конструктивные особенности инструмента;</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элементарные правила по уходу за инструментом и уметь их применять при необходимости; </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основы музыкальной грамоты;</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систему игровых  навыков и уметь применять ее самостоятельно;</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основные средства музыкальной выразительности (динамика, агогика, тембр);</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технические и художественно-эстетические особенности, характерные для сольного исполнительства на гитаре;</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функциональные особенности строения частей тела и уметь рационально использовать их в работе игрового аппарата; </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самостоятельно настраивать инструмент;</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самостоятельно определять технические трудности  несложного музыкального произведения и находить способы и методы в работе над ними;</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самостоятельно среди нескольких вариантов  аппликатуры выбрать наиболее  удобную и рациональную;</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творчески подходить к созданию художественного образа, используя при этом все теоретические  знания и  предыдущий практический опыт в освоении музыкальных средств выразительности;</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на базе приобретенных специальных знаний  давать грамотную адекватную оценку многообразным музыкальным событиям; </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навык игры по нотам;</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навыки чтения с листа несложных  произведений, необходимые для ансамблевого музицирования и аккомпанемента;</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приобрести навыки подбора по слуху, так необходимые  в дальнейшем будущему аккомпаниатору;</w:t>
      </w:r>
    </w:p>
    <w:p>
      <w:pPr>
        <w:numPr>
          <w:ilvl w:val="0"/>
          <w:numId w:val="38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приобрести навык публичных выступлений как в качестве солиста, так и участника ансамбля.</w:t>
      </w:r>
    </w:p>
    <w:p>
      <w:pPr>
        <w:spacing w:before="120" w:after="240" w:line="24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Реализация программы обеспечивает:</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наличие у учащегося интереса к музыкальному искусству, самостоятельному музыкальному исполнительству;</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знание художественно-исполнительских возможностей гитары;</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знание музыкальной терминологии;</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знание репертуара для гитары, включающего произведения разных стилей и жанров, произведения крупной формы (сонаты, вариации,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 читать с листа несложные музыкальные произведения;</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 подбирать по слуху;</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навыки воспитания слухового контроля, умения управлять процессом исполнения музыкального произведения;</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навыки использования музыкально-исполнительских средств выразительности, выполнения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pPr>
        <w:numPr>
          <w:ilvl w:val="0"/>
          <w:numId w:val="39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наличие навыков репетиционно-концертной работы в качестве солиста. </w:t>
      </w:r>
    </w:p>
    <w:p>
      <w:pPr>
        <w:numPr>
          <w:ilvl w:val="0"/>
          <w:numId w:val="390"/>
        </w:numPr>
        <w:tabs>
          <w:tab w:val="left" w:pos="993" w:leader="none"/>
        </w:tabs>
        <w:spacing w:before="0" w:after="0" w:line="360"/>
        <w:ind w:right="0" w:left="709" w:firstLine="709"/>
        <w:jc w:val="both"/>
        <w:rPr>
          <w:rFonts w:ascii="Times New Roman" w:hAnsi="Times New Roman" w:cs="Times New Roman" w:eastAsia="Times New Roman"/>
          <w:color w:val="auto"/>
          <w:spacing w:val="0"/>
          <w:position w:val="0"/>
          <w:sz w:val="28"/>
          <w:shd w:fill="auto" w:val="clear"/>
        </w:rPr>
      </w:pPr>
    </w:p>
    <w:p>
      <w:pPr>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IV. </w:t>
      </w:r>
      <w:r>
        <w:rPr>
          <w:rFonts w:ascii="Times New Roman" w:hAnsi="Times New Roman" w:cs="Times New Roman" w:eastAsia="Times New Roman"/>
          <w:b/>
          <w:color w:val="auto"/>
          <w:spacing w:val="0"/>
          <w:position w:val="0"/>
          <w:sz w:val="28"/>
          <w:shd w:fill="auto" w:val="clear"/>
        </w:rPr>
        <w:t xml:space="preserve">ФОРМЫ И МЕТОДЫ КОНТРОЛЯ, СИСТЕМА ОЦЕНОК </w:t>
      </w:r>
    </w:p>
    <w:p>
      <w:pPr>
        <w:spacing w:before="120" w:after="240" w:line="240"/>
        <w:ind w:right="0" w:left="0" w:firstLine="0"/>
        <w:jc w:val="center"/>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1. </w:t>
      </w:r>
      <w:r>
        <w:rPr>
          <w:rFonts w:ascii="Times New Roman" w:hAnsi="Times New Roman" w:cs="Times New Roman" w:eastAsia="Times New Roman"/>
          <w:b/>
          <w:i/>
          <w:color w:val="auto"/>
          <w:spacing w:val="0"/>
          <w:position w:val="0"/>
          <w:sz w:val="28"/>
          <w:shd w:fill="auto" w:val="clear"/>
        </w:rPr>
        <w:t xml:space="preserve">Аттестация: цели, виды, форма, содержание</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любой  аттестации — определение уровня подготовки учащегося на определенном этапе обучения по конкретно пройденному материалу.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Оценки  качества знаний  по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Специальности  (гитара)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охватывают все виды контроля:</w:t>
      </w:r>
    </w:p>
    <w:p>
      <w:pPr>
        <w:numPr>
          <w:ilvl w:val="0"/>
          <w:numId w:val="395"/>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текущий контроль успеваемости;</w:t>
      </w:r>
    </w:p>
    <w:p>
      <w:pPr>
        <w:numPr>
          <w:ilvl w:val="0"/>
          <w:numId w:val="395"/>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промежуточная аттестация учащихся; </w:t>
      </w:r>
    </w:p>
    <w:p>
      <w:pPr>
        <w:numPr>
          <w:ilvl w:val="0"/>
          <w:numId w:val="395"/>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итоговая  аттестация  учащихся.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Каждый из видов контроля успеваемости учащихся имеет свои цели, задачи и формы.</w:t>
      </w:r>
    </w:p>
    <w:p>
      <w:pPr>
        <w:spacing w:before="120" w:after="120" w:line="240"/>
        <w:ind w:right="0" w:left="0" w:firstLine="0"/>
        <w:jc w:val="righ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Таблица 4</w:t>
      </w:r>
    </w:p>
    <w:tbl>
      <w:tblPr/>
      <w:tblGrid>
        <w:gridCol w:w="2504"/>
        <w:gridCol w:w="5116"/>
        <w:gridCol w:w="2285"/>
      </w:tblGrid>
      <w:tr>
        <w:trPr>
          <w:trHeight w:val="389" w:hRule="auto"/>
          <w:jc w:val="left"/>
        </w:trPr>
        <w:tc>
          <w:tcPr>
            <w:tcW w:w="25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Вид контроля</w:t>
            </w:r>
          </w:p>
        </w:tc>
        <w:tc>
          <w:tcPr>
            <w:tcW w:w="51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Задачи</w:t>
            </w:r>
          </w:p>
        </w:tc>
        <w:tc>
          <w:tcPr>
            <w:tcW w:w="22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Формы</w:t>
            </w:r>
          </w:p>
        </w:tc>
      </w:tr>
      <w:tr>
        <w:trPr>
          <w:trHeight w:val="389" w:hRule="auto"/>
          <w:jc w:val="left"/>
        </w:trPr>
        <w:tc>
          <w:tcPr>
            <w:tcW w:w="25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Текущий контроль</w:t>
            </w:r>
          </w:p>
        </w:tc>
        <w:tc>
          <w:tcPr>
            <w:tcW w:w="51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поддержание учебной дисциплины,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выявление отношения учащегося к  изучаемому предмету,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различных систем оценивания.  Результаты текущего контроля учитываются при выставлении четвертных, полугодовых, годовых оценок. </w:t>
            </w:r>
          </w:p>
          <w:p>
            <w:pPr>
              <w:spacing w:before="0" w:after="0" w:line="240"/>
              <w:ind w:right="0" w:left="0" w:firstLine="0"/>
              <w:jc w:val="left"/>
              <w:rPr>
                <w:color w:val="auto"/>
                <w:spacing w:val="0"/>
                <w:position w:val="0"/>
              </w:rPr>
            </w:pPr>
          </w:p>
        </w:tc>
        <w:tc>
          <w:tcPr>
            <w:tcW w:w="22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контрольные уроки,</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академические концерты, прослушивания к конкурсам, отчетным концертам</w:t>
            </w:r>
          </w:p>
        </w:tc>
      </w:tr>
      <w:tr>
        <w:trPr>
          <w:trHeight w:val="389" w:hRule="auto"/>
          <w:jc w:val="left"/>
        </w:trPr>
        <w:tc>
          <w:tcPr>
            <w:tcW w:w="25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Промежуточная аттестация</w:t>
            </w:r>
          </w:p>
        </w:tc>
        <w:tc>
          <w:tcPr>
            <w:tcW w:w="51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определение успешности развития учащегося и усвоения им  программы на определенном этапе обучения</w:t>
            </w:r>
          </w:p>
        </w:tc>
        <w:tc>
          <w:tcPr>
            <w:tcW w:w="22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зачеты (показ части программы, технический зачет),    академические концерты,  переводные экзамены</w:t>
            </w:r>
          </w:p>
          <w:p>
            <w:pPr>
              <w:spacing w:before="0" w:after="0" w:line="240"/>
              <w:ind w:right="0" w:left="0" w:firstLine="0"/>
              <w:jc w:val="left"/>
              <w:rPr>
                <w:color w:val="auto"/>
                <w:spacing w:val="0"/>
                <w:position w:val="0"/>
              </w:rPr>
            </w:pPr>
          </w:p>
        </w:tc>
      </w:tr>
      <w:tr>
        <w:trPr>
          <w:trHeight w:val="389" w:hRule="auto"/>
          <w:jc w:val="left"/>
        </w:trPr>
        <w:tc>
          <w:tcPr>
            <w:tcW w:w="25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Итоговая аттестация</w:t>
            </w:r>
          </w:p>
        </w:tc>
        <w:tc>
          <w:tcPr>
            <w:tcW w:w="51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определяет уровень и качество освоения  программы учебного предмета</w:t>
            </w:r>
          </w:p>
        </w:tc>
        <w:tc>
          <w:tcPr>
            <w:tcW w:w="22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Экзамен проводится в выпускных классах: 5 (6), 8 (9)</w:t>
            </w:r>
          </w:p>
        </w:tc>
      </w:tr>
    </w:tbl>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Контрольные уроки</w:t>
      </w:r>
      <w:r>
        <w:rPr>
          <w:rFonts w:ascii="Times New Roman" w:hAnsi="Times New Roman" w:cs="Times New Roman" w:eastAsia="Times New Roman"/>
          <w:color w:val="auto"/>
          <w:spacing w:val="0"/>
          <w:position w:val="0"/>
          <w:sz w:val="28"/>
          <w:shd w:fill="auto" w:val="clear"/>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Преподаватель планирует и проводит контрольные уроки в течение четверти (полугодия) в зависимости от индивидуальной успеваемости ученика, от этапа изучаемой программы с целью повышения его мотивации к  учебному процессу.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Контрольные уроки проводятся в счет аудиторного времени, предусмотренного на учебный предмет.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Контрольные прослушивания</w:t>
      </w:r>
      <w:r>
        <w:rPr>
          <w:rFonts w:ascii="Times New Roman" w:hAnsi="Times New Roman" w:cs="Times New Roman" w:eastAsia="Times New Roman"/>
          <w:color w:val="auto"/>
          <w:spacing w:val="0"/>
          <w:position w:val="0"/>
          <w:sz w:val="28"/>
          <w:shd w:fill="auto" w:val="clear"/>
        </w:rPr>
        <w:t xml:space="preserve"> могут проводиться в классе в присутствии других преподавателей, включать в себя элементы беседы с учащимся и обсуждение  рекомендательного характера.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Зачеты </w:t>
      </w:r>
      <w:r>
        <w:rPr>
          <w:rFonts w:ascii="Times New Roman" w:hAnsi="Times New Roman" w:cs="Times New Roman" w:eastAsia="Times New Roman"/>
          <w:color w:val="auto"/>
          <w:spacing w:val="0"/>
          <w:position w:val="0"/>
          <w:sz w:val="28"/>
          <w:shd w:fill="auto" w:val="clear"/>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могут быть дифференцированные и недифференцированные с обязательным методическим обсуждением, носящим рекомендательный характер.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Академические концерты</w:t>
      </w:r>
      <w:r>
        <w:rPr>
          <w:rFonts w:ascii="Times New Roman" w:hAnsi="Times New Roman" w:cs="Times New Roman" w:eastAsia="Times New Roman"/>
          <w:color w:val="auto"/>
          <w:spacing w:val="0"/>
          <w:position w:val="0"/>
          <w:sz w:val="28"/>
          <w:shd w:fill="auto" w:val="clear"/>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оценивается комиссией.</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Переводные экзамены</w:t>
      </w:r>
      <w:r>
        <w:rPr>
          <w:rFonts w:ascii="Times New Roman" w:hAnsi="Times New Roman" w:cs="Times New Roman" w:eastAsia="Times New Roman"/>
          <w:color w:val="auto"/>
          <w:spacing w:val="0"/>
          <w:position w:val="0"/>
          <w:sz w:val="28"/>
          <w:shd w:fill="auto" w:val="clear"/>
        </w:rPr>
        <w:t xml:space="preserve"> могут проводиться в конце каждого учебного года. Исполнение полной программы демонстрирует уровень освоения предмета данного года обучения. Переводной экзамен проводится с применением дифференцированных систем оценок, завершается обязательным методическим обсуждением. Экзамены проводятся за пределами аудиторных учебных занятий в соответствии с графиком образовательного процесса. Учащийся, освоивший в полном объеме  программу, переводится в следующий класс.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Итоговая аттестация (экзамен</w:t>
      </w:r>
      <w:r>
        <w:rPr>
          <w:rFonts w:ascii="Times New Roman" w:hAnsi="Times New Roman" w:cs="Times New Roman" w:eastAsia="Times New Roman"/>
          <w:color w:val="auto"/>
          <w:spacing w:val="0"/>
          <w:position w:val="0"/>
          <w:sz w:val="28"/>
          <w:shd w:fill="auto" w:val="clear"/>
        </w:rP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w:t>
      </w:r>
    </w:p>
    <w:p>
      <w:pPr>
        <w:spacing w:before="120" w:after="240" w:line="24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2. </w:t>
      </w:r>
      <w:r>
        <w:rPr>
          <w:rFonts w:ascii="Times New Roman" w:hAnsi="Times New Roman" w:cs="Times New Roman" w:eastAsia="Times New Roman"/>
          <w:b/>
          <w:i/>
          <w:color w:val="auto"/>
          <w:spacing w:val="0"/>
          <w:position w:val="0"/>
          <w:sz w:val="28"/>
          <w:shd w:fill="auto" w:val="clear"/>
        </w:rPr>
        <w:t xml:space="preserve">Критерии оценок</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аттестации учащихся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pPr>
        <w:spacing w:before="120" w:after="120" w:line="240"/>
        <w:ind w:right="0" w:left="0" w:firstLine="0"/>
        <w:jc w:val="righ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Таблица 5</w:t>
      </w:r>
    </w:p>
    <w:tbl>
      <w:tblPr/>
      <w:tblGrid>
        <w:gridCol w:w="3968"/>
        <w:gridCol w:w="5729"/>
      </w:tblGrid>
      <w:tr>
        <w:trPr>
          <w:trHeight w:val="389" w:hRule="auto"/>
          <w:jc w:val="left"/>
        </w:trPr>
        <w:tc>
          <w:tcPr>
            <w:tcW w:w="39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Оценка</w:t>
            </w:r>
          </w:p>
        </w:tc>
        <w:tc>
          <w:tcPr>
            <w:tcW w:w="57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Критерии оценивания исполнения</w:t>
            </w:r>
          </w:p>
        </w:tc>
      </w:tr>
      <w:tr>
        <w:trPr>
          <w:trHeight w:val="389" w:hRule="auto"/>
          <w:jc w:val="left"/>
        </w:trPr>
        <w:tc>
          <w:tcPr>
            <w:tcW w:w="39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5 («</w:t>
            </w:r>
            <w:r>
              <w:rPr>
                <w:rFonts w:ascii="Times New Roman" w:hAnsi="Times New Roman" w:cs="Times New Roman" w:eastAsia="Times New Roman"/>
                <w:b/>
                <w:color w:val="auto"/>
                <w:spacing w:val="0"/>
                <w:position w:val="0"/>
                <w:sz w:val="24"/>
                <w:shd w:fill="auto" w:val="clear"/>
              </w:rPr>
              <w:t xml:space="preserve">отлично</w:t>
            </w:r>
            <w:r>
              <w:rPr>
                <w:rFonts w:ascii="Times New Roman" w:hAnsi="Times New Roman" w:cs="Times New Roman" w:eastAsia="Times New Roman"/>
                <w:b/>
                <w:color w:val="auto"/>
                <w:spacing w:val="0"/>
                <w:position w:val="0"/>
                <w:sz w:val="24"/>
                <w:shd w:fill="auto" w:val="clear"/>
              </w:rPr>
              <w:t xml:space="preserve">»)</w:t>
            </w:r>
          </w:p>
        </w:tc>
        <w:tc>
          <w:tcPr>
            <w:tcW w:w="57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1"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исполнение программы целиком без остановок и существенных ошибок;</w:t>
            </w:r>
          </w:p>
          <w:p>
            <w:pPr>
              <w:spacing w:before="0" w:after="0" w:line="240"/>
              <w:ind w:right="0" w:left="1"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ясным, внятным звуком;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ритмично;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достаточной степени выразительно;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исполняемые произведения соответствуют примерным программным требованиям. </w:t>
            </w:r>
          </w:p>
          <w:p>
            <w:pPr>
              <w:spacing w:before="0" w:after="0" w:line="240"/>
              <w:ind w:right="0" w:left="0" w:firstLine="71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Все требования к качеству звука, ритмичности, музыкальности исполнения, а также уровень сценической культуры оцениваются в соответствии с возрастом и годом обучения.</w:t>
            </w:r>
          </w:p>
        </w:tc>
      </w:tr>
      <w:tr>
        <w:trPr>
          <w:trHeight w:val="389" w:hRule="auto"/>
          <w:jc w:val="left"/>
        </w:trPr>
        <w:tc>
          <w:tcPr>
            <w:tcW w:w="39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4 («</w:t>
            </w:r>
            <w:r>
              <w:rPr>
                <w:rFonts w:ascii="Times New Roman" w:hAnsi="Times New Roman" w:cs="Times New Roman" w:eastAsia="Times New Roman"/>
                <w:b/>
                <w:color w:val="auto"/>
                <w:spacing w:val="0"/>
                <w:position w:val="0"/>
                <w:sz w:val="24"/>
                <w:shd w:fill="auto" w:val="clear"/>
              </w:rPr>
              <w:t xml:space="preserve">хорошо</w:t>
            </w:r>
            <w:r>
              <w:rPr>
                <w:rFonts w:ascii="Times New Roman" w:hAnsi="Times New Roman" w:cs="Times New Roman" w:eastAsia="Times New Roman"/>
                <w:b/>
                <w:color w:val="auto"/>
                <w:spacing w:val="0"/>
                <w:position w:val="0"/>
                <w:sz w:val="24"/>
                <w:shd w:fill="auto" w:val="clear"/>
              </w:rPr>
              <w:t xml:space="preserve">»)</w:t>
            </w:r>
          </w:p>
        </w:tc>
        <w:tc>
          <w:tcPr>
            <w:tcW w:w="57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Несоответствие исполнения какому-либо пункту/пунктам предыдущего раздела, например: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заметная ошибка, либо несколько менее значительных;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некачественное звучание инструмента;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неритмичное исполнение;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невыразительное исполнение;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несколько заниженный уровень сложности программы. </w:t>
            </w:r>
          </w:p>
          <w:p>
            <w:pPr>
              <w:spacing w:before="0" w:after="0" w:line="240"/>
              <w:ind w:right="0" w:left="0" w:firstLine="71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Степень данных недочетов в исполнении оценивается комиссией.</w:t>
            </w:r>
          </w:p>
        </w:tc>
      </w:tr>
      <w:tr>
        <w:trPr>
          <w:trHeight w:val="389" w:hRule="auto"/>
          <w:jc w:val="left"/>
        </w:trPr>
        <w:tc>
          <w:tcPr>
            <w:tcW w:w="39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3 («</w:t>
            </w:r>
            <w:r>
              <w:rPr>
                <w:rFonts w:ascii="Times New Roman" w:hAnsi="Times New Roman" w:cs="Times New Roman" w:eastAsia="Times New Roman"/>
                <w:b/>
                <w:color w:val="auto"/>
                <w:spacing w:val="0"/>
                <w:position w:val="0"/>
                <w:sz w:val="24"/>
                <w:shd w:fill="auto" w:val="clear"/>
              </w:rPr>
              <w:t xml:space="preserve">удовлетворительно</w:t>
            </w:r>
            <w:r>
              <w:rPr>
                <w:rFonts w:ascii="Times New Roman" w:hAnsi="Times New Roman" w:cs="Times New Roman" w:eastAsia="Times New Roman"/>
                <w:b/>
                <w:color w:val="auto"/>
                <w:spacing w:val="0"/>
                <w:position w:val="0"/>
                <w:sz w:val="24"/>
                <w:shd w:fill="auto" w:val="clear"/>
              </w:rPr>
              <w:t xml:space="preserve">»)</w:t>
            </w:r>
          </w:p>
        </w:tc>
        <w:tc>
          <w:tcPr>
            <w:tcW w:w="57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Значительное несоответствие исполнения какому-либо пункту/пунктам  первого раздела, например: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множественные ошибки или остановки;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значительно заниженный уровень сложности программы;</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различные комбинации пунктов 1-4.</w:t>
            </w:r>
          </w:p>
        </w:tc>
      </w:tr>
      <w:tr>
        <w:trPr>
          <w:trHeight w:val="389" w:hRule="auto"/>
          <w:jc w:val="left"/>
        </w:trPr>
        <w:tc>
          <w:tcPr>
            <w:tcW w:w="39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2 («</w:t>
            </w:r>
            <w:r>
              <w:rPr>
                <w:rFonts w:ascii="Times New Roman" w:hAnsi="Times New Roman" w:cs="Times New Roman" w:eastAsia="Times New Roman"/>
                <w:b/>
                <w:color w:val="auto"/>
                <w:spacing w:val="0"/>
                <w:position w:val="0"/>
                <w:sz w:val="24"/>
                <w:shd w:fill="auto" w:val="clear"/>
              </w:rPr>
              <w:t xml:space="preserve">неудовлетворительно</w:t>
            </w:r>
            <w:r>
              <w:rPr>
                <w:rFonts w:ascii="Times New Roman" w:hAnsi="Times New Roman" w:cs="Times New Roman" w:eastAsia="Times New Roman"/>
                <w:b/>
                <w:color w:val="auto"/>
                <w:spacing w:val="0"/>
                <w:position w:val="0"/>
                <w:sz w:val="24"/>
                <w:shd w:fill="auto" w:val="clear"/>
              </w:rPr>
              <w:t xml:space="preserve">»)</w:t>
            </w:r>
          </w:p>
        </w:tc>
        <w:tc>
          <w:tcPr>
            <w:tcW w:w="57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71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Отказ от выступления, либо невыученность программы и невозможность доиграть ее до конца.</w:t>
            </w:r>
          </w:p>
        </w:tc>
      </w:tr>
      <w:tr>
        <w:trPr>
          <w:trHeight w:val="389" w:hRule="auto"/>
          <w:jc w:val="left"/>
        </w:trPr>
        <w:tc>
          <w:tcPr>
            <w:tcW w:w="39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Зачет (без оценки)</w:t>
            </w:r>
          </w:p>
        </w:tc>
        <w:tc>
          <w:tcPr>
            <w:tcW w:w="57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71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Отражает достаточный уровень подготовки и исполнения на данном этапе обучения.</w:t>
            </w:r>
          </w:p>
        </w:tc>
      </w:tr>
    </w:tbl>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что даст возможность более конкретно отметить выступление учащегося.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выведении итоговой (переводной) оценки учитываются следующие параметры:</w:t>
      </w:r>
    </w:p>
    <w:p>
      <w:pPr>
        <w:numPr>
          <w:ilvl w:val="0"/>
          <w:numId w:val="43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оценка годовой работы учащегося;</w:t>
      </w:r>
    </w:p>
    <w:p>
      <w:pPr>
        <w:numPr>
          <w:ilvl w:val="0"/>
          <w:numId w:val="43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оценки за академические концерты или экзамены;</w:t>
      </w:r>
    </w:p>
    <w:p>
      <w:pPr>
        <w:numPr>
          <w:ilvl w:val="0"/>
          <w:numId w:val="438"/>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другие выступления учащегося в течение учебного года.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выведении оценки за выпускные экзамены должны быть учтены следующие параметры:</w:t>
      </w:r>
    </w:p>
    <w:p>
      <w:pPr>
        <w:numPr>
          <w:ilvl w:val="0"/>
          <w:numId w:val="44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продемонстрирован достаточный технический уровень владения инструментом;</w:t>
      </w:r>
    </w:p>
    <w:p>
      <w:pPr>
        <w:numPr>
          <w:ilvl w:val="0"/>
          <w:numId w:val="44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раскрыт художественный образ музыкального произведения;</w:t>
      </w:r>
    </w:p>
    <w:p>
      <w:pPr>
        <w:numPr>
          <w:ilvl w:val="0"/>
          <w:numId w:val="44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отражено понимание в исполнительской интерпретации стиля исполняемого произведения.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выпускных экзаменах оценка ставится по пятибалльной системе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отлично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хорошо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удовлетворительно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неудовлетворительно</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p>
    <w:p>
      <w:pPr>
        <w:spacing w:before="120" w:after="12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w:t>
        <w:tab/>
      </w:r>
      <w:r>
        <w:rPr>
          <w:rFonts w:ascii="Times New Roman" w:hAnsi="Times New Roman" w:cs="Times New Roman" w:eastAsia="Times New Roman"/>
          <w:b/>
          <w:color w:val="auto"/>
          <w:spacing w:val="0"/>
          <w:position w:val="0"/>
          <w:sz w:val="28"/>
          <w:shd w:fill="auto" w:val="clear"/>
        </w:rPr>
        <w:t xml:space="preserve">МЕТОДИЧЕСКОЕ ОБЕСПЕЧЕНИЕ УЧЕБНОГО ПРОЦЕССА </w:t>
      </w:r>
    </w:p>
    <w:p>
      <w:pPr>
        <w:spacing w:before="120" w:after="240" w:line="240"/>
        <w:ind w:right="0" w:left="0" w:firstLine="720"/>
        <w:jc w:val="center"/>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Методические рекомендации педагогическим работникам</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 время обучения педагог должен  научить  ученика самостоятельно разучивать и грамотно исполнять  на гитаре  произведения  из репертуара, разработанного детской школой искусств, а также сформировать у него навыки чтения  нот с листа, подбора  по  слуху,  игры  в  ансамбле  и навыки аккомпанирования. В работе с учащимся преподавателю необходимо следовать основным принципам дидактики, таким, как последовательность, систематичность, доступность, наглядность в освоении материала.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Основной формой учебной работы в инструментальном классе является урок, проводимый, как индивидуальное занятие педагога с учеником. В некоторых случаях на начальном этапе обучения (1, 2 классы) возможны уроки, проводимые с двумя-тремя учениками одновременно в целях расширения кругозора, создания в классе коллективной творческой обстановки,  а также для первоначального знакомства с игрой в ансамбле.</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протяжении всех лет обучения должна проводиться планомерная и систематическая работа над всеми важнейшими разделами музыкально-технического развития учащегося. Необходимо прививать ему сознательное отношение к усвоению тех или иных технических приемов, ясное представление о той художественной цели, которой они служат.</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Основными предпосылками для успешного развития ученика является воспитание у него свободной и естественной посадки, правильной постановки рук, организация и освоение целесообразных игровых движений, обусловленных художественно-техническими задачами. Все это должно быть предметом самого пристального внимания и упорной, настойчивой работы педагога и учащегося.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Постоянное внимание следует уделять качеству звукоизвлечения —  важнейшему средству музыкальной выразительности  гитариста, а также правильным движениям пальцев правой руки. Нельзя не отметить важность свободного владения позициями и навыком вибрации. К работе  над  вибрацией следует  приступить, когда учащийся усвоит необходимые  постановочные и двигательные  навыки.  При этом необходимо стремиться к формированию у него  внутренней  потребности к вибрации.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 должен привить ученику навыки использования грамотной, осмысленной аппликатуры, наиболее полно раскрывающей художественное содержание произведения.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Большое значение для музыкального развития имеет исполнение учеником произведений с аккомпанементом преподавателя. Это обогащает слуховые, музыкальные представления учащегося, помогает укреплению и совершенствованию его ритмической организации, заставляет добиваться согласованного ансамблевого звучания.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Продвижение учащихся во многом зависит от правильной организации их домашних занятий, рационального использования времени, отведенного для работы дома. Развитие навыков самостоятельной работы у учащихся позволяет педагогу более плодотворно использовать время в процессе классных занятий, наблюдать за учеником, выявляя и развивая его индивидуально-психологические и физические особенности.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первоначальном этапе возможно привлечение родителей ученика для контроля над домашней работой. Нельзя недооценивать значение общения, взаимодействия с родителями учащихся на протяжении всего периода обучения.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начале обучения в музыкальной школе учащийся должен получить от педагога ясное представление о гитаре как о сольном и ансамблевом инструменте. Необходимо также знакомить ученика с важнейшими сведениями об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w:t>
      </w:r>
    </w:p>
    <w:p>
      <w:pPr>
        <w:spacing w:before="120" w:after="240" w:line="24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Посадка</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игре гитарист должен сидеть на передней половине устойчивого жесткого стула без поручней, высотой  пропорционально его  росту. Левая  нога  стоит  на  подставке, бедро образует с плоскостью пола небольшой острый угол, колено  находится на воображаемой линии между левым плечом и ступней. Гитара кладется выемкой обечайки на левое бедро, грудь слегка касается нижней деки, корпус гитариста  подается  несколько  вперед. Нос исполнителя и самая высокая точка корпуса гитары находятся на одной вертикальной линии, головка грифа располагается на уровне нижней части головы гитариста, плечи сохраняют свое естественное положение.</w:t>
      </w:r>
    </w:p>
    <w:p>
      <w:pPr>
        <w:spacing w:before="120" w:after="240" w:line="24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Постановка правой руки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Постановка правой руки - один из важнейших компонентов для  формирования качества звучания. Это та основа, на которой строятся все движения пальцев.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Правая рука  отодвигается от  туловища, чтобы  позволить  предплечью расположиться на большом овале гитары. Руку необходимо чувствовать всю от плечевого сустава, держа  ее  как  бы  навесу,  хотя   предплечье и касается корпуса гитары. Нельзя опираться на обечайку всем весом руки - ни предплечьем, ни локтевым сгибом.</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Кисть является как бы продолжением предплечья, она не висит свободно, а держится в нужном положении. Для ее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Пальцы располагаются над правой половиной розетки. </w:t>
      </w:r>
    </w:p>
    <w:p>
      <w:pPr>
        <w:spacing w:before="120" w:after="240" w:line="24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Звукоизвлечение</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Работая над правильной постановкой правой руки, нельзя забывать, что сама по себе постановка -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прочувствован, постепенно занесен в мышечную память и доведен до автоматизма. Оттягивание струны производится всем пальцем целиком от пястного сустава по направлению к передней деке и к соседней струне одновременно. Ладонь при этом располагается непосредственно над струнами, и палец 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 напротив, немного упруго прогибаются. При этом струна естественно оттягивается  в направлении передней деки, и звук обладает более красивым, глубоким тембром.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Большой палец касается струны одновременно ногтем и подушечкой. После звукоизвлечения возвращение пальца на струну для следующего звукоизвлечения осуществляется  только пястным суставом. Нельзя тянуться к струне ногтевой фалангой, прогибая палец в суставе.</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настоящее время профессиональная игра на гитаре может осуществляться только ногтевым способом, и учащийся с самого начала должен быть ориентирован на это. В то же время, если у ученика ногти  тонкие  и хрупкие, то приходится применять безногтевой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касается ногтя, оттягивается и немного перемещается по кромке ногтя к точке схода.</w:t>
      </w:r>
    </w:p>
    <w:p>
      <w:pPr>
        <w:spacing w:before="120" w:after="240" w:line="24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Приемы звукоизвлечения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Существует два основных приема звукоизвлечения: тирандо и апояндо.  Тирандо может быть исполнена любая фактура без исключения, так как траектория движения кончика пальца при этом такова, что после звукоизвлечения палец не задевает соседнюю струну.</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Если движение кончика пальца направлено на соседнюю струну, то после звукоизвлечения палец прекращает движение, дотронувшись до этой струны. Такой прием называется апояндо. Апояндо - прием скорее художественный, колористический, придающий особую силу и красочность звучанию. Принципы работы пальцев и направление оттягивания струны при правильном выполнении обоих приемов отличаются друг от друга незначительно.</w:t>
      </w:r>
    </w:p>
    <w:p>
      <w:pPr>
        <w:spacing w:before="120" w:after="240" w:line="240"/>
        <w:ind w:right="0" w:left="0" w:firstLine="72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Постановка левой руки</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  может стоять прямо или даже быть склоненным чуть вправо. На шестой струне наклон пальцев практически отсутствует, а по мере приближения к первой струне - увеличивается.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игре на шестой струне кисть выносится вперед,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Педагогам-гитаристам в связи с теми или иными проблемами в своей области необходимо обращаться к научным и методическим исследованиям по другим специальностям, прежде всего, к скрипичным и фортепианным.</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p>
    <w:p>
      <w:pPr>
        <w:spacing w:before="120" w:after="12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w:t>
        <w:tab/>
      </w:r>
      <w:r>
        <w:rPr>
          <w:rFonts w:ascii="Times New Roman" w:hAnsi="Times New Roman" w:cs="Times New Roman" w:eastAsia="Times New Roman"/>
          <w:b/>
          <w:color w:val="auto"/>
          <w:spacing w:val="0"/>
          <w:position w:val="0"/>
          <w:sz w:val="28"/>
          <w:shd w:fill="auto" w:val="clear"/>
        </w:rPr>
        <w:t xml:space="preserve">СПИСКИ РЕКОМЕНДУЕМОЙ НОТНОЙ И МЕТОДИЧЕСКОЙ ЛИТЕРАТУРЫ </w:t>
      </w:r>
    </w:p>
    <w:p>
      <w:pPr>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Учебно-методическая литература</w:t>
      </w:r>
    </w:p>
    <w:p>
      <w:pPr>
        <w:numPr>
          <w:ilvl w:val="0"/>
          <w:numId w:val="457"/>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Агафошин П.С. Школа игры на шестиструнной гитаре.- М., Музыка, 2007</w:t>
      </w:r>
    </w:p>
    <w:p>
      <w:pPr>
        <w:numPr>
          <w:ilvl w:val="0"/>
          <w:numId w:val="457"/>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Гитман А. Донотный период в начальном обучении гитаристов. - М., Престо, 2003</w:t>
      </w:r>
    </w:p>
    <w:p>
      <w:pPr>
        <w:numPr>
          <w:ilvl w:val="0"/>
          <w:numId w:val="457"/>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Гитман А. Начальное обучение на шестиструнной гитаре. - М., Престо, 1995, 1999, 2002</w:t>
      </w:r>
    </w:p>
    <w:p>
      <w:pPr>
        <w:numPr>
          <w:ilvl w:val="0"/>
          <w:numId w:val="457"/>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Школа игры на шестиструнной гитаре.- Ростов-на-Дону, Феникс, 2013</w:t>
      </w:r>
    </w:p>
    <w:p>
      <w:pPr>
        <w:numPr>
          <w:ilvl w:val="0"/>
          <w:numId w:val="457"/>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Каркасси М. Школа игры на шестиструнной гитаре. - М., 1964-2009</w:t>
      </w:r>
    </w:p>
    <w:p>
      <w:pPr>
        <w:numPr>
          <w:ilvl w:val="0"/>
          <w:numId w:val="457"/>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Кирьянов Н.  Искусство игры на классической шестиструнной гитаре. Часть 1. - М., Торопов, 2002</w:t>
      </w:r>
    </w:p>
    <w:p>
      <w:pPr>
        <w:numPr>
          <w:ilvl w:val="0"/>
          <w:numId w:val="457"/>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Пухоль Э. Школа игры на шестиструнной гитаре. - М., 1977 - 2009</w:t>
      </w:r>
    </w:p>
    <w:p>
      <w:pPr>
        <w:numPr>
          <w:ilvl w:val="0"/>
          <w:numId w:val="457"/>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Jirmal J.  Škola hri na kytaru pro za</w:t>
      </w:r>
      <w:r>
        <w:rPr>
          <w:rFonts w:ascii="Times New Roman" w:hAnsi="Times New Roman" w:cs="Times New Roman" w:eastAsia="Times New Roman"/>
          <w:color w:val="auto"/>
          <w:spacing w:val="0"/>
          <w:position w:val="0"/>
          <w:sz w:val="28"/>
          <w:shd w:fill="auto" w:val="clear"/>
        </w:rPr>
        <w:t xml:space="preserve">čátečníky. - Praha, 1988</w:t>
      </w:r>
    </w:p>
    <w:p>
      <w:pPr>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Методическая литература</w:t>
      </w:r>
    </w:p>
    <w:p>
      <w:pPr>
        <w:numPr>
          <w:ilvl w:val="0"/>
          <w:numId w:val="460"/>
        </w:numPr>
        <w:tabs>
          <w:tab w:val="left" w:pos="993" w:leader="none"/>
        </w:tabs>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Ашер Т. Звук и его тоновые оттенки. // Гитаристъ.-1993: №1. С. 15-17</w:t>
      </w:r>
    </w:p>
    <w:p>
      <w:pPr>
        <w:numPr>
          <w:ilvl w:val="0"/>
          <w:numId w:val="46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Гитман А. Гитара и музыкальная грамота. - М., Престо, 2002</w:t>
      </w:r>
    </w:p>
    <w:p>
      <w:pPr>
        <w:numPr>
          <w:ilvl w:val="0"/>
          <w:numId w:val="46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Домогацкий В. Семь ступеней мастерства: вопросы гитарной техники. М., Классика-XXI, 2004</w:t>
      </w:r>
    </w:p>
    <w:p>
      <w:pPr>
        <w:numPr>
          <w:ilvl w:val="0"/>
          <w:numId w:val="46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Как научить играть на гитаре. Сост. В. Кузнецов. - М., Классика-XXI, 2006, 2010</w:t>
      </w:r>
    </w:p>
    <w:p>
      <w:pPr>
        <w:numPr>
          <w:ilvl w:val="0"/>
          <w:numId w:val="46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Классическая гитара: современное исполнительство и преподавание. Материалы  I-VII Междунар. науч.-практ. конференций.  Тамбов, 2005-2012</w:t>
      </w:r>
    </w:p>
    <w:p>
      <w:pPr>
        <w:numPr>
          <w:ilvl w:val="0"/>
          <w:numId w:val="460"/>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Кузнецов В. К вопросу о гитарной аппликатуре. // Проблемы содержания и методики учебного процесса в музыкальном колледже и вузе: Труды МГИМ им. А. Шнитке, вып.3. М., 2001</w:t>
      </w:r>
    </w:p>
    <w:p>
      <w:pPr>
        <w:numPr>
          <w:ilvl w:val="0"/>
          <w:numId w:val="460"/>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Кузнецов В. Основы звукоизвлечения и игры в позиции на классической гитаре. // Музыкальное исполнительство на народных инструментах. Вопросы обучения и воспитания: Труды МГИМ им. А. Шнитке, вып.7. М., 2003</w:t>
      </w:r>
    </w:p>
    <w:p>
      <w:pPr>
        <w:numPr>
          <w:ilvl w:val="0"/>
          <w:numId w:val="460"/>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Кузнецов В. Подготовительный период обучения на классической гитаре. // Современные проблемы музыкального образования: Труды МГИМ им. А. Шнитке, вып.8. М., 2004</w:t>
      </w:r>
    </w:p>
    <w:p>
      <w:pPr>
        <w:numPr>
          <w:ilvl w:val="0"/>
          <w:numId w:val="460"/>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FAFAFA" w:val="clear"/>
        </w:rPr>
        <w:t xml:space="preserve">Михайленко Н. Методика преподавания на шестиструнной гитаре. Киев, Музична Украина, 2003</w:t>
      </w:r>
    </w:p>
    <w:p>
      <w:pPr>
        <w:numPr>
          <w:ilvl w:val="0"/>
          <w:numId w:val="460"/>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FAFAFA" w:val="clear"/>
        </w:rPr>
        <w:t xml:space="preserve">Петропавловский А. Гитара в камерном ансамбле.</w:t>
      </w:r>
      <w:r>
        <w:rPr>
          <w:rFonts w:ascii="Times New Roman" w:hAnsi="Times New Roman" w:cs="Times New Roman" w:eastAsia="Times New Roman"/>
          <w:color w:val="auto"/>
          <w:spacing w:val="0"/>
          <w:position w:val="0"/>
          <w:sz w:val="28"/>
          <w:shd w:fill="FAFAFA" w:val="clear"/>
        </w:rPr>
        <w:t xml:space="preserve"> </w:t>
      </w:r>
      <w:r>
        <w:rPr>
          <w:rFonts w:ascii="Times New Roman" w:hAnsi="Times New Roman" w:cs="Times New Roman" w:eastAsia="Times New Roman"/>
          <w:color w:val="auto"/>
          <w:spacing w:val="0"/>
          <w:position w:val="0"/>
          <w:sz w:val="28"/>
          <w:shd w:fill="FAFAFA" w:val="clear"/>
        </w:rPr>
        <w:t xml:space="preserve">Автореферат диссертации на соск. уч. степени канд. искусствоведения. Специальность 17.00.02. Нижний Новгород, 2007</w:t>
      </w:r>
    </w:p>
    <w:p>
      <w:pPr>
        <w:numPr>
          <w:ilvl w:val="0"/>
          <w:numId w:val="460"/>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Титов Е. Приемы игры на гитаре: от теории к практике. М., Композитор, 2005</w:t>
      </w:r>
    </w:p>
    <w:p>
      <w:pPr>
        <w:spacing w:before="0" w:after="0" w:line="360"/>
        <w:ind w:right="0" w:left="0" w:firstLine="709"/>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709"/>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Нотная литература</w:t>
      </w:r>
    </w:p>
    <w:p>
      <w:pPr>
        <w:numPr>
          <w:ilvl w:val="0"/>
          <w:numId w:val="463"/>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Агуадо Д. Этюды для шестиструнной гитары / Ред. Х. Ортеги. - М., 1979</w:t>
      </w:r>
    </w:p>
    <w:p>
      <w:pPr>
        <w:numPr>
          <w:ilvl w:val="0"/>
          <w:numId w:val="463"/>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Барриос А.  Произведения для шестиструнной гитары / Сост. В. Максименко.- М., 1989</w:t>
      </w:r>
    </w:p>
    <w:p>
      <w:pPr>
        <w:numPr>
          <w:ilvl w:val="0"/>
          <w:numId w:val="463"/>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Бах И.С. Сборник пьес для шестиструнной гитары / Сост. и обр. П. Исаков. - М.- Л., Государственное музыкальное издательство, 1934</w:t>
      </w:r>
    </w:p>
    <w:p>
      <w:pPr>
        <w:numPr>
          <w:ilvl w:val="0"/>
          <w:numId w:val="463"/>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Брауэр Л. Произведения для шестиструнной гитары / Сост. В. Максименко. - М., Музыка, 1986</w:t>
      </w:r>
    </w:p>
    <w:p>
      <w:pPr>
        <w:numPr>
          <w:ilvl w:val="0"/>
          <w:numId w:val="463"/>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Вила-Лобос Э. Прелюдии для шестиструнной гитары. - М., Музыка, 1984</w:t>
      </w:r>
    </w:p>
    <w:p>
      <w:pPr>
        <w:numPr>
          <w:ilvl w:val="0"/>
          <w:numId w:val="463"/>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Вила-Лобос Э. Произведения для шестиструнной гитары / Сост. В.Максименко. - М., Музыка, 1984, 1988</w:t>
      </w:r>
    </w:p>
    <w:p>
      <w:pPr>
        <w:numPr>
          <w:ilvl w:val="0"/>
          <w:numId w:val="463"/>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Восемь пьес для шестиструнной гитары / Аранж. А.Иванова-Крамского. - М.- Л., Государственное музыкальное издательство,1946</w:t>
      </w:r>
    </w:p>
    <w:p>
      <w:pPr>
        <w:numPr>
          <w:ilvl w:val="0"/>
          <w:numId w:val="463"/>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Золотая библиотека педагогического репертуара. Нотная папка гитариста №3 / Сост. В.Кузнецов. - М., Дека-ВС, 2004 </w:t>
      </w:r>
    </w:p>
    <w:p>
      <w:pPr>
        <w:numPr>
          <w:ilvl w:val="0"/>
          <w:numId w:val="463"/>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Иванов-Крамской А. Пьесы для шестиструнной гитары. - М.-Л., Государственное музыкальное издательство, 1947</w:t>
      </w:r>
    </w:p>
    <w:p>
      <w:pPr>
        <w:numPr>
          <w:ilvl w:val="0"/>
          <w:numId w:val="463"/>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 репертуара А. Иванова-Крамского: Произведения для шестиструнной гитары. / Сост. Н. Иванова-Крамская. - М., Музыка, 1983</w:t>
      </w:r>
    </w:p>
    <w:p>
      <w:pPr>
        <w:numPr>
          <w:ilvl w:val="0"/>
          <w:numId w:val="463"/>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Карулли Ф. Избранные произведения для шестиструнной гитары / Сост. И. Поликарпов. - М., Музыка, 1972</w:t>
      </w:r>
    </w:p>
    <w:p>
      <w:pPr>
        <w:numPr>
          <w:ilvl w:val="0"/>
          <w:numId w:val="463"/>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Классические этюды для шестиструнной гитары. Часть I / Сост. и ред. А. Гитмана. - М.,  Престо, 1997</w:t>
      </w:r>
    </w:p>
    <w:p>
      <w:pPr>
        <w:numPr>
          <w:ilvl w:val="0"/>
          <w:numId w:val="463"/>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Концерт в музыкальной школе: Шестиструнная гитара. Вып. 1/ Сост. А. Гитман. - М., Престо,1998</w:t>
      </w:r>
    </w:p>
    <w:p>
      <w:pPr>
        <w:numPr>
          <w:ilvl w:val="0"/>
          <w:numId w:val="463"/>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Концерт в музыкальной школе: Шестиструнная гитара. Вып. 2/ Сост. А. Гитман. - М., Престо, 2002</w:t>
      </w:r>
    </w:p>
    <w:p>
      <w:pPr>
        <w:numPr>
          <w:ilvl w:val="0"/>
          <w:numId w:val="463"/>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Морено-Торроба Ф. Произведения для шестиструнной гитары / Сост. Е. Ларичев. - М., Музыка, 1981, 1984</w:t>
      </w:r>
    </w:p>
    <w:p>
      <w:pPr>
        <w:numPr>
          <w:ilvl w:val="0"/>
          <w:numId w:val="463"/>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 Ренессанса до наших дней: Для шестиструнной гитары. Вып.1 / Сост. и ред. И. Пермяков. - Л., Музыка, 1987</w:t>
      </w:r>
    </w:p>
    <w:p>
      <w:pPr>
        <w:numPr>
          <w:ilvl w:val="0"/>
          <w:numId w:val="463"/>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 Ренессанса до наших дней: Для шестиструнной гитары. Вып.2 / Сост. и ред. И. Пермяков. - Л., Музыка, 1989</w:t>
      </w:r>
    </w:p>
    <w:p>
      <w:pPr>
        <w:numPr>
          <w:ilvl w:val="0"/>
          <w:numId w:val="463"/>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 Ренессанса до наших дней: Для шестиструнной гитары. Вып.3 / Сост. и ред. И. Пермяков. - Л., Музыка, 1992</w:t>
      </w:r>
    </w:p>
    <w:p>
      <w:pPr>
        <w:numPr>
          <w:ilvl w:val="0"/>
          <w:numId w:val="463"/>
        </w:numPr>
        <w:tabs>
          <w:tab w:val="left" w:pos="993" w:leader="none"/>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Педагогический репертуар гитариста. Вып.1. Для 4 класса ДМШ / Сост. А. Иванов-Крамской. - М., Музыка, 1966</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Педагогический репертуар гитариста. Вып.2. Для 5 класса ДМШ / Сост. П. Вещицкий. - М., Музыка, 1967</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Педагогический репертуар гитариста. Вып.5. / Сост. А. Иванов-Крамской. - М., Музыка, 1969</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Педагогический репертуар гитариста. Младшие классы ДМШ: Пьесы, упражнения, ансамбли для шестиструнной гитары. Вып. 1 / Сост. А. Гитман. - М., Престо, 2005.</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Педагогический репертуар гитариста. Средние и старшие классы ДМШ: Пьесы и этюды для шестиструнной гитары. Вып. 1 / Сост. А. Гитман. - М., Престо, 1999, 2004</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Педагогический репертуар: Пьесы для шестиструнной гитары. Вып.1 / Сост. Я. Ковалевская и Е. Рябоконь. - Л., Музыка,1970</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Педагогический репертуар: Пьесы для шестиструнной гитары. Вып.2 / Сост. Я. Ковалевская и Е. Рябоконь. - Л., Музыка, 1971</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Педагогический репертуар: Пьесы для шестиструнной гитары. Вып.3 / Сост. Я. Ковалевская и Е. Рябоконь. - Л., Музыка, 1977</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Педагогический репертуар: Сборник этюдов для шестиструнной гитары / Сост. Я. Ковалевская и Е. Рябоконь. - Л., Музыка, 1973</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Популярные пьесы и этюды для шестиструнной гитары. Репертуар музыкальных школ. Вып.1/ Сост. А.Гитман. - М., Престо, 2011</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Произведения для шестиструнной гитары. Ступени к мастерству. Вып. 1/ Сост. В. Кузнецов. - М., Владос, 2005 </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Произведения для шестиструнной гитары. Ступени к мастерству. Вып. 2/ Сост. В. Кузнецов. - М., Владос, 2005 </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Пьесы для шестиструнной гитары. / Сост. К. Хрусталев. - М.- Л., Государственное музыкальное издательство, 1948</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Репертуар гитариста: Избранные пьесы для шестиструнной гитары. / Сост. П. Агафошин. Серия I -II. Альбомы 1 - 7. - М., 1930,1931</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Санс Г. Пять сюит /  Ред. Х. Ортеги.- М.,1979</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Сборник избранных пьес для шестиструнной гитары / Ред. П. Агафошин. - М.- Л., Государственное музыкальное издательство,1939</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Сборник избранных пьес для шестиструнной гитары / Под ред. П. Агафошина. - М., Государственное музыкальное издательство, 1932</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Сборник классических этюдов для шестиструнной гитары в 3-х частях / Сост. В. Яшнев. - Л., Государственное музыкальное издательство, 1934, 1935</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Сборник легких пьес для шестиструнной гитары / Перелож. П. Агафошина. - М.- Л., Государственное музыкальное издательство, 1939</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Сборник пьес для шестиструнной гитары / Сост. Е. Рябоконь и И. Клименков. - Л., Музгиз, 1962</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Сборник пьес для шестиструнной гитары. Альбом 8 / Под ред. П. Агафошина. - М., Государственное музыкальное издательство, 1933</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20 этюдов для шестиструнной гитары./ Ред. А. Сеговии. - М., ГИД, 1997</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Сор Ф. 20 этюдов для шестиструнной гитары./ Сост. Я. Ковалевская и Е. Рябоконь. - Л., Музыка, 1975</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Старинная музыка: Для шестиструнной гитары / Сост. И. Поликарпов. - М., Советский композитор, 1971</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Таррега Ф. Избранные произведения для шестиструнной гитары / Сост. Е. Ларичев. - М., Музыка, 1983</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Хрестоматия гитариста. (Шестиструнная гитара): 1-2 кл. детских музыкальных школ. Вып.1 / Сост. А. Иванов-Крамской. - М., Музыка, 1971, 1976</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Хрестоматия гитариста. (Шестиструнная гитара): 1-3 кл. детских музыкальных школ / Сост. Е. Ларичев. - М., Музыка, 1983, 1985</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Хрестоматия гитариста. (Шестиструнная гитара): 3-5 кл. детских музыкальных школ. Вып.1 / Сост. Е. Ларичев. — М., Музыка, 1972</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Хрестоматия гитариста. (Шестиструнная гитара): 4-5 кл. детских музыкальных школ / Сост. Е. Ларичев. - М., Музыка, 1984, 1986</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Хрестоматия для шестиструнной гитары. Вып. 1 / Сост. П. Вещицкий. - М., Музгиз, 1958</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Хрестоматия для шестиструнной гитары. Вып. 2 / Сост. П. Вещицкий. - М., Музгиз, 1959</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Хрестоматия для шестиструнной гитары. Вып. 3: Этюды и пьесы / Сост. П. Вещицкий. - М., Музгиз,1960</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Хрестоматия для шестиструнной гитары. Вып. 4 / Сост. Ц. Вамба. — М., Музгиз,1961</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Шестиструнная гитара: Подготовительный и первый классы детской музыкальной школы. / Сост. Н. Михайленко. - Киев, Музична Украина, 1983</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Шестиструнная гитара: Учебный репертуар детских музыкальных школ (2 класс). / Сост. Н. Михайленко. - Киев, Музична Украина, 1984</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Шестиструнная гитара: Учебный репертуар детских музыкальных школ (3 класс). / Сост. Н. Михайленко. - Киев, Музична Украина, 1980, 1984</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Шестиструнная гитара: Учебный репертуар детских музыкальных школ (4 класс). / Сост. Н. Михайленко. - Киев, Музична Украина, 1981, 1985</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Шестиструнная гитара: Учебный репертуар детских музыкальных школ (5 класс). / Сост. Н. Михайленко. - Киев, Музична Украина, 1982, 1986</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Этюды для шестиструнной гитары / Сост. Д. Карпович и Е. Рябоконь.- Л., Музгиз, 1961</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Этюды для шестиструнной гитары / Сост. И. Пермяков. - Л., Музыка, 1987</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Этюды для шестиструнной гитары / Сост. П. Агафошин. - М.- Л., Государственное музыкальное издательство, 1950</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Aguado D. Studies for  Guitar / Ed. Z. Tokos - Budapest, 1984</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Bach J.S. Lautenwerke / Musica per chitarra - Budapest, 1980</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Giuliani M.  24 leichte Etüden für Gitarre, </w:t>
      </w:r>
      <w:r>
        <w:rPr>
          <w:rFonts w:ascii="Times New Roman" w:hAnsi="Times New Roman" w:cs="Times New Roman" w:eastAsia="Times New Roman"/>
          <w:color w:val="auto"/>
          <w:spacing w:val="0"/>
          <w:position w:val="0"/>
          <w:sz w:val="28"/>
          <w:shd w:fill="auto" w:val="clear"/>
        </w:rPr>
        <w:t xml:space="preserve">ор. 100 / Herausg. B. Henze. - Leipzig, 1977</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Italienische Meister der Gitarre / Herausg. B. Henze. - Leipzig, 1977</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Klassiker der Gitarre. Band 1.- Leipzig, 1977</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Klassiker der Gitarre. Band 2. - Leipzig, 1978</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Klassiker der Gitarre. Band 3. - Leipzig, 1979</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Klassiker der Gitarre. Band 4. - Leipzig, 1980</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Klassiker der Gitarre. Band 5. - Leipzig, 1981</w:t>
      </w:r>
    </w:p>
    <w:p>
      <w:pPr>
        <w:numPr>
          <w:ilvl w:val="0"/>
          <w:numId w:val="463"/>
        </w:numPr>
        <w:tabs>
          <w:tab w:val="left" w:pos="1134" w:leader="none"/>
        </w:tabs>
        <w:spacing w:before="0" w:after="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Sor F.  24 leichte Übungen für Gitarre </w:t>
      </w:r>
      <w:r>
        <w:rPr>
          <w:rFonts w:ascii="Times New Roman" w:hAnsi="Times New Roman" w:cs="Times New Roman" w:eastAsia="Times New Roman"/>
          <w:color w:val="auto"/>
          <w:spacing w:val="0"/>
          <w:position w:val="0"/>
          <w:sz w:val="28"/>
          <w:shd w:fill="auto" w:val="clear"/>
        </w:rPr>
        <w:t xml:space="preserve">ор. 35, I – II / Herausg. U. Peter.- Leipzig, 1977</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num w:numId="13">
    <w:abstractNumId w:val="108"/>
  </w:num>
  <w:num w:numId="17">
    <w:abstractNumId w:val="102"/>
  </w:num>
  <w:num w:numId="20">
    <w:abstractNumId w:val="96"/>
  </w:num>
  <w:num w:numId="22">
    <w:abstractNumId w:val="90"/>
  </w:num>
  <w:num w:numId="27">
    <w:abstractNumId w:val="84"/>
  </w:num>
  <w:num w:numId="30">
    <w:abstractNumId w:val="78"/>
  </w:num>
  <w:num w:numId="56">
    <w:abstractNumId w:val="72"/>
  </w:num>
  <w:num w:numId="58">
    <w:abstractNumId w:val="66"/>
  </w:num>
  <w:num w:numId="62">
    <w:abstractNumId w:val="60"/>
  </w:num>
  <w:num w:numId="66">
    <w:abstractNumId w:val="54"/>
  </w:num>
  <w:num w:numId="179">
    <w:abstractNumId w:val="48"/>
  </w:num>
  <w:num w:numId="388">
    <w:abstractNumId w:val="42"/>
  </w:num>
  <w:num w:numId="390">
    <w:abstractNumId w:val="36"/>
  </w:num>
  <w:num w:numId="395">
    <w:abstractNumId w:val="30"/>
  </w:num>
  <w:num w:numId="438">
    <w:abstractNumId w:val="24"/>
  </w:num>
  <w:num w:numId="440">
    <w:abstractNumId w:val="18"/>
  </w:num>
  <w:num w:numId="457">
    <w:abstractNumId w:val="12"/>
  </w:num>
  <w:num w:numId="460">
    <w:abstractNumId w:val="6"/>
  </w:num>
  <w:num w:numId="46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